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0"/>
        <w:tblpPr w:leftFromText="180" w:rightFromText="180" w:horzAnchor="page" w:tblpX="1" w:tblpY="-1440"/>
        <w:tblW w:w="12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2790"/>
        <w:gridCol w:w="3330"/>
        <w:gridCol w:w="2790"/>
      </w:tblGrid>
      <w:tr w:rsidR="000E7449" w:rsidRPr="000A56DA" w14:paraId="2630EC29" w14:textId="77777777" w:rsidTr="00A277F5">
        <w:tc>
          <w:tcPr>
            <w:tcW w:w="12210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FF"/>
            <w:vAlign w:val="center"/>
          </w:tcPr>
          <w:p w14:paraId="45EAA79F" w14:textId="77777777" w:rsidR="000E7449" w:rsidRPr="000A56DA" w:rsidRDefault="000E7449" w:rsidP="00A277F5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A56DA">
              <w:rPr>
                <w:rFonts w:eastAsia="Arial"/>
                <w:b/>
                <w:sz w:val="20"/>
                <w:szCs w:val="20"/>
              </w:rPr>
              <w:t>Brighton Collaboration Viral Vector Vaccines Safety Working Group (V3SWG)</w:t>
            </w:r>
          </w:p>
          <w:p w14:paraId="562D62B7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rFonts w:eastAsia="Arial"/>
                <w:b/>
                <w:sz w:val="20"/>
                <w:szCs w:val="20"/>
              </w:rPr>
              <w:t>Standardized Template V2.1 for Collection of Key Information for Risk Assessment of Viral Vaccine Vector Candidates</w:t>
            </w:r>
          </w:p>
        </w:tc>
      </w:tr>
      <w:tr w:rsidR="000E7449" w:rsidRPr="000A56DA" w14:paraId="1636E3E1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3DE0A707" w14:textId="77777777" w:rsidR="000E7449" w:rsidRPr="000A56DA" w:rsidRDefault="000E7449" w:rsidP="00A277F5">
            <w:pPr>
              <w:tabs>
                <w:tab w:val="left" w:pos="447"/>
              </w:tabs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 Target Pathogen and Population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6E7491FB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333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99"/>
          </w:tcPr>
          <w:p w14:paraId="09112D3E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Comments/Concerns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</w:tcPr>
          <w:p w14:paraId="73015C17" w14:textId="77777777" w:rsidR="000E7449" w:rsidRPr="000A56DA" w:rsidRDefault="000E7449" w:rsidP="00A277F5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Reference(s)</w:t>
            </w:r>
          </w:p>
        </w:tc>
      </w:tr>
      <w:tr w:rsidR="000E7449" w:rsidRPr="000A56DA" w14:paraId="6F69407C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14:paraId="52D0FC97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t xml:space="preserve">5.1 </w:t>
            </w:r>
            <w:r w:rsidRPr="000A56DA">
              <w:rPr>
                <w:color w:val="000000"/>
                <w:sz w:val="20"/>
                <w:szCs w:val="20"/>
              </w:rPr>
              <w:t>What is the target pathogen?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4" w:space="0" w:color="000000"/>
            </w:tcBorders>
          </w:tcPr>
          <w:p w14:paraId="3676FC21" w14:textId="0F452A0F" w:rsidR="000E7449" w:rsidRPr="00F4133A" w:rsidRDefault="002F7BC6" w:rsidP="00A277F5">
            <w:pPr>
              <w:rPr>
                <w:sz w:val="18"/>
                <w:szCs w:val="18"/>
              </w:rPr>
            </w:pPr>
            <w:proofErr w:type="spellStart"/>
            <w:r w:rsidRPr="00F4133A">
              <w:rPr>
                <w:sz w:val="18"/>
                <w:szCs w:val="18"/>
              </w:rPr>
              <w:t>Nipah</w:t>
            </w:r>
            <w:proofErr w:type="spellEnd"/>
            <w:r w:rsidRPr="00F4133A">
              <w:rPr>
                <w:sz w:val="18"/>
                <w:szCs w:val="18"/>
              </w:rPr>
              <w:t xml:space="preserve"> virus</w:t>
            </w:r>
          </w:p>
        </w:tc>
        <w:tc>
          <w:tcPr>
            <w:tcW w:w="3330" w:type="dxa"/>
            <w:tcBorders>
              <w:top w:val="single" w:sz="24" w:space="0" w:color="000000"/>
              <w:bottom w:val="single" w:sz="4" w:space="0" w:color="000000"/>
            </w:tcBorders>
          </w:tcPr>
          <w:p w14:paraId="0DB35E93" w14:textId="1A2650E5" w:rsidR="000E7449" w:rsidRPr="00F4133A" w:rsidRDefault="00071285" w:rsidP="00A277F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</w:t>
            </w:r>
            <w:r w:rsidR="000C0FBC">
              <w:rPr>
                <w:sz w:val="18"/>
                <w:szCs w:val="18"/>
              </w:rPr>
              <w:t>pah</w:t>
            </w:r>
            <w:proofErr w:type="spellEnd"/>
            <w:r w:rsidR="000C0FBC">
              <w:rPr>
                <w:sz w:val="18"/>
                <w:szCs w:val="18"/>
              </w:rPr>
              <w:t xml:space="preserve"> virus</w:t>
            </w:r>
            <w:r w:rsidR="00EE3A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 an enveloped, </w:t>
            </w:r>
            <w:proofErr w:type="spellStart"/>
            <w:r>
              <w:rPr>
                <w:sz w:val="18"/>
                <w:szCs w:val="18"/>
              </w:rPr>
              <w:t>nonsegmented</w:t>
            </w:r>
            <w:proofErr w:type="spellEnd"/>
            <w:r>
              <w:rPr>
                <w:sz w:val="18"/>
                <w:szCs w:val="18"/>
              </w:rPr>
              <w:t xml:space="preserve"> -</w:t>
            </w:r>
            <w:proofErr w:type="spellStart"/>
            <w:r>
              <w:rPr>
                <w:sz w:val="18"/>
                <w:szCs w:val="18"/>
              </w:rPr>
              <w:t>ssRNA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975774">
              <w:rPr>
                <w:sz w:val="18"/>
                <w:szCs w:val="18"/>
              </w:rPr>
              <w:t>batborne</w:t>
            </w:r>
            <w:proofErr w:type="spellEnd"/>
            <w:r w:rsidR="00845E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paramyxovirus </w:t>
            </w:r>
            <w:r w:rsidR="00FD5C9B">
              <w:rPr>
                <w:sz w:val="18"/>
                <w:szCs w:val="18"/>
              </w:rPr>
              <w:t>of the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71285">
              <w:rPr>
                <w:i/>
                <w:iCs/>
                <w:sz w:val="18"/>
                <w:szCs w:val="18"/>
              </w:rPr>
              <w:t>Henipavirus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D5C9B">
              <w:rPr>
                <w:sz w:val="18"/>
                <w:szCs w:val="18"/>
              </w:rPr>
              <w:t xml:space="preserve">genus of </w:t>
            </w:r>
            <w:proofErr w:type="spellStart"/>
            <w:r w:rsidRPr="00071285">
              <w:rPr>
                <w:i/>
                <w:iCs/>
                <w:sz w:val="18"/>
                <w:szCs w:val="18"/>
              </w:rPr>
              <w:t>Paramyxoviridae</w:t>
            </w:r>
            <w:proofErr w:type="spellEnd"/>
            <w:r w:rsidR="00FD5C9B">
              <w:rPr>
                <w:sz w:val="18"/>
                <w:szCs w:val="18"/>
              </w:rPr>
              <w:t xml:space="preserve"> family</w:t>
            </w:r>
            <w:r w:rsidR="00845E4E">
              <w:rPr>
                <w:sz w:val="18"/>
                <w:szCs w:val="18"/>
              </w:rPr>
              <w:t xml:space="preserve">, with </w:t>
            </w:r>
            <w:r w:rsidR="0087317A">
              <w:rPr>
                <w:sz w:val="18"/>
                <w:szCs w:val="18"/>
              </w:rPr>
              <w:t xml:space="preserve">two genetically distinct </w:t>
            </w:r>
            <w:r w:rsidR="00845E4E">
              <w:rPr>
                <w:sz w:val="18"/>
                <w:szCs w:val="18"/>
              </w:rPr>
              <w:t xml:space="preserve">(92% identical on sequences) </w:t>
            </w:r>
            <w:r w:rsidR="0087317A">
              <w:rPr>
                <w:sz w:val="18"/>
                <w:szCs w:val="18"/>
              </w:rPr>
              <w:t>strains</w:t>
            </w:r>
            <w:r w:rsidR="003179DB">
              <w:rPr>
                <w:sz w:val="18"/>
                <w:szCs w:val="18"/>
              </w:rPr>
              <w:t>:</w:t>
            </w:r>
            <w:r w:rsidR="0087317A">
              <w:rPr>
                <w:sz w:val="18"/>
                <w:szCs w:val="18"/>
              </w:rPr>
              <w:t xml:space="preserve"> Malaysia (</w:t>
            </w:r>
            <w:proofErr w:type="spellStart"/>
            <w:r w:rsidR="0087317A">
              <w:rPr>
                <w:sz w:val="18"/>
                <w:szCs w:val="18"/>
              </w:rPr>
              <w:t>NiV</w:t>
            </w:r>
            <w:proofErr w:type="spellEnd"/>
            <w:r w:rsidR="0087317A">
              <w:rPr>
                <w:sz w:val="18"/>
                <w:szCs w:val="18"/>
              </w:rPr>
              <w:t>-MY) and Bangladesh (</w:t>
            </w:r>
            <w:proofErr w:type="spellStart"/>
            <w:r w:rsidR="0087317A">
              <w:rPr>
                <w:sz w:val="18"/>
                <w:szCs w:val="18"/>
              </w:rPr>
              <w:t>NiV</w:t>
            </w:r>
            <w:proofErr w:type="spellEnd"/>
            <w:r w:rsidR="0087317A">
              <w:rPr>
                <w:sz w:val="18"/>
                <w:szCs w:val="18"/>
              </w:rPr>
              <w:t>-BD)</w:t>
            </w:r>
            <w:r w:rsidR="00845E4E">
              <w:rPr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53FE60D" w14:textId="13C2FEF4" w:rsidR="000E7449" w:rsidRPr="00F4133A" w:rsidRDefault="00C31139" w:rsidP="00A27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 MK et al. </w:t>
            </w:r>
            <w:proofErr w:type="spellStart"/>
            <w:r>
              <w:rPr>
                <w:sz w:val="18"/>
                <w:szCs w:val="18"/>
              </w:rPr>
              <w:t>Emerg</w:t>
            </w:r>
            <w:proofErr w:type="spellEnd"/>
            <w:r>
              <w:rPr>
                <w:sz w:val="18"/>
                <w:szCs w:val="18"/>
              </w:rPr>
              <w:t xml:space="preserve"> Infect Dis </w:t>
            </w:r>
            <w:proofErr w:type="gramStart"/>
            <w:r>
              <w:rPr>
                <w:sz w:val="18"/>
                <w:szCs w:val="18"/>
              </w:rPr>
              <w:t>2012;18:248</w:t>
            </w:r>
            <w:proofErr w:type="gramEnd"/>
            <w:r>
              <w:rPr>
                <w:sz w:val="18"/>
                <w:szCs w:val="18"/>
              </w:rPr>
              <w:t>, doi:10.3201/eid1802.111492</w:t>
            </w:r>
          </w:p>
        </w:tc>
      </w:tr>
      <w:tr w:rsidR="000E7449" w:rsidRPr="000A56DA" w14:paraId="19DC3949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3DBC4FE" w14:textId="77777777" w:rsidR="000E7449" w:rsidRPr="000A56DA" w:rsidRDefault="000E7449" w:rsidP="00A277F5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t xml:space="preserve">5.2 </w:t>
            </w:r>
            <w:r w:rsidRPr="000A56DA">
              <w:rPr>
                <w:sz w:val="20"/>
                <w:szCs w:val="20"/>
              </w:rPr>
              <w:t>What are the disease manifestations caused by the target pathogen in humans, for the following categories: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1210623" w14:textId="77777777" w:rsidR="000E7449" w:rsidRPr="00F4133A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3AF53998" w14:textId="77777777" w:rsidR="000E7449" w:rsidRPr="00F4133A" w:rsidRDefault="000E7449" w:rsidP="00A277F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6CAF3DA1" w14:textId="77777777" w:rsidR="000E7449" w:rsidRPr="00F4133A" w:rsidRDefault="000E7449" w:rsidP="00A277F5">
            <w:pPr>
              <w:rPr>
                <w:sz w:val="18"/>
                <w:szCs w:val="18"/>
              </w:rPr>
            </w:pPr>
          </w:p>
        </w:tc>
      </w:tr>
      <w:tr w:rsidR="00106703" w:rsidRPr="000A56DA" w14:paraId="511B6317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08E594C" w14:textId="77777777" w:rsidR="00106703" w:rsidRPr="000A56DA" w:rsidRDefault="00106703" w:rsidP="0010670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healthy people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60047FCA" w14:textId="005400AA" w:rsidR="00106703" w:rsidRPr="00F4133A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Infection </w:t>
            </w:r>
            <w:r w:rsidR="00883E45">
              <w:rPr>
                <w:sz w:val="18"/>
                <w:szCs w:val="18"/>
              </w:rPr>
              <w:t xml:space="preserve">with </w:t>
            </w:r>
            <w:proofErr w:type="spellStart"/>
            <w:r w:rsidR="00883E45">
              <w:rPr>
                <w:sz w:val="18"/>
                <w:szCs w:val="18"/>
              </w:rPr>
              <w:t>Nipah</w:t>
            </w:r>
            <w:proofErr w:type="spellEnd"/>
            <w:r w:rsidR="00883E45">
              <w:rPr>
                <w:sz w:val="18"/>
                <w:szCs w:val="18"/>
              </w:rPr>
              <w:t xml:space="preserve"> virus </w:t>
            </w:r>
            <w:r>
              <w:rPr>
                <w:sz w:val="18"/>
                <w:szCs w:val="18"/>
              </w:rPr>
              <w:t>can be asymptomatic (8%) or non-</w:t>
            </w:r>
            <w:proofErr w:type="spellStart"/>
            <w:r>
              <w:rPr>
                <w:sz w:val="18"/>
                <w:szCs w:val="18"/>
              </w:rPr>
              <w:t>neuroinvasive</w:t>
            </w:r>
            <w:proofErr w:type="spellEnd"/>
            <w:r>
              <w:rPr>
                <w:sz w:val="18"/>
                <w:szCs w:val="18"/>
              </w:rPr>
              <w:t xml:space="preserve"> (fever, headache, or myalgia).</w:t>
            </w:r>
            <w:r w:rsidR="00A265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virus is also associated with severe</w:t>
            </w:r>
            <w:r w:rsidR="00950849">
              <w:rPr>
                <w:sz w:val="18"/>
                <w:szCs w:val="18"/>
              </w:rPr>
              <w:t xml:space="preserve"> </w:t>
            </w:r>
            <w:r w:rsidR="00EF2911">
              <w:rPr>
                <w:sz w:val="18"/>
                <w:szCs w:val="18"/>
              </w:rPr>
              <w:t>neurological</w:t>
            </w:r>
            <w:r>
              <w:rPr>
                <w:sz w:val="18"/>
                <w:szCs w:val="18"/>
              </w:rPr>
              <w:t xml:space="preserve"> (meningitis and encephalitis)</w:t>
            </w:r>
            <w:r w:rsidR="00AC040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respiratory (atypical pneumonia and ARDS), and multiorgan </w:t>
            </w:r>
            <w:r w:rsidR="00AC0405">
              <w:rPr>
                <w:sz w:val="18"/>
                <w:szCs w:val="18"/>
              </w:rPr>
              <w:t>(e.g., spleen, kidneys, and heart) presentations</w:t>
            </w:r>
            <w:r>
              <w:rPr>
                <w:sz w:val="18"/>
                <w:szCs w:val="18"/>
              </w:rPr>
              <w:t>.</w:t>
            </w:r>
            <w:r w:rsidR="00EC3C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addition to acute monophasic encephalitis, recurrence of neurological manifestations after initial recovery (“relapsed encephalitis”) or new onset neurological illness weeks to months after asymptomatic</w:t>
            </w:r>
            <w:r w:rsidR="0068621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mild illness (“</w:t>
            </w:r>
            <w:r w:rsidR="00DB5768">
              <w:rPr>
                <w:sz w:val="18"/>
                <w:szCs w:val="18"/>
              </w:rPr>
              <w:t>delayed</w:t>
            </w:r>
            <w:r>
              <w:rPr>
                <w:sz w:val="18"/>
                <w:szCs w:val="18"/>
              </w:rPr>
              <w:t>-onset encephalitis”)</w:t>
            </w:r>
            <w:r w:rsidR="008D0A44">
              <w:rPr>
                <w:sz w:val="18"/>
                <w:szCs w:val="18"/>
              </w:rPr>
              <w:t xml:space="preserve"> have been described.</w:t>
            </w:r>
            <w:r w:rsidR="003B53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Long-term sequelae have been noted, including persistent convulsion, personality change, and deficit in attention and memory.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9DA7164" w14:textId="78A0DE02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78649A43" w14:textId="77777777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 factsheet: </w:t>
            </w:r>
            <w:proofErr w:type="spellStart"/>
            <w:r>
              <w:rPr>
                <w:sz w:val="18"/>
                <w:szCs w:val="18"/>
              </w:rPr>
              <w:t>Nipah</w:t>
            </w:r>
            <w:proofErr w:type="spellEnd"/>
            <w:r>
              <w:rPr>
                <w:sz w:val="18"/>
                <w:szCs w:val="18"/>
              </w:rPr>
              <w:t xml:space="preserve"> virus (</w:t>
            </w:r>
            <w:proofErr w:type="spellStart"/>
            <w:r>
              <w:rPr>
                <w:sz w:val="18"/>
                <w:szCs w:val="18"/>
              </w:rPr>
              <w:t>NiV</w:t>
            </w:r>
            <w:proofErr w:type="spellEnd"/>
            <w:r>
              <w:rPr>
                <w:sz w:val="18"/>
                <w:szCs w:val="18"/>
              </w:rPr>
              <w:t xml:space="preserve">). Available at: </w:t>
            </w:r>
            <w:hyperlink r:id="rId9" w:history="1">
              <w:r w:rsidRPr="00F04742">
                <w:rPr>
                  <w:rStyle w:val="Hyperlink"/>
                  <w:sz w:val="18"/>
                  <w:szCs w:val="18"/>
                </w:rPr>
                <w:t>https://www.cdc.gov/vhf/nipah/pdf/factsheet.pdf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1978917" w14:textId="5C1FB996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Tan CT et al. Ann Neurol </w:t>
            </w:r>
            <w:proofErr w:type="gramStart"/>
            <w:r>
              <w:rPr>
                <w:sz w:val="18"/>
                <w:szCs w:val="18"/>
              </w:rPr>
              <w:t>2002;51:703</w:t>
            </w:r>
            <w:proofErr w:type="gramEnd"/>
            <w:r>
              <w:rPr>
                <w:sz w:val="18"/>
                <w:szCs w:val="18"/>
              </w:rPr>
              <w:t>, doi:10.1002/ana.10212</w:t>
            </w:r>
          </w:p>
          <w:p w14:paraId="128E7789" w14:textId="77777777" w:rsidR="00106703" w:rsidRDefault="00106703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Sejvar</w:t>
            </w:r>
            <w:proofErr w:type="spellEnd"/>
            <w:r>
              <w:rPr>
                <w:sz w:val="18"/>
                <w:szCs w:val="18"/>
              </w:rPr>
              <w:t xml:space="preserve"> JJ et al. Ann Neurol </w:t>
            </w:r>
            <w:proofErr w:type="gramStart"/>
            <w:r>
              <w:rPr>
                <w:sz w:val="18"/>
                <w:szCs w:val="18"/>
              </w:rPr>
              <w:t>2007;62:235</w:t>
            </w:r>
            <w:proofErr w:type="gramEnd"/>
            <w:r>
              <w:rPr>
                <w:sz w:val="18"/>
                <w:szCs w:val="18"/>
              </w:rPr>
              <w:t>, doi:10.1002/ana.21178</w:t>
            </w:r>
          </w:p>
          <w:p w14:paraId="45C27BFD" w14:textId="756854D0" w:rsidR="00106703" w:rsidRPr="00F4133A" w:rsidRDefault="00106703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Sherrini</w:t>
            </w:r>
            <w:proofErr w:type="spellEnd"/>
            <w:r>
              <w:rPr>
                <w:sz w:val="18"/>
                <w:szCs w:val="18"/>
              </w:rPr>
              <w:t xml:space="preserve"> BA et al. Med J Malaysia 2014;69 Suppl A:103</w:t>
            </w:r>
          </w:p>
        </w:tc>
      </w:tr>
      <w:tr w:rsidR="00106703" w:rsidRPr="000A56DA" w14:paraId="3F0D914F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22B53C74" w14:textId="77777777" w:rsidR="00106703" w:rsidRPr="000A56DA" w:rsidRDefault="00106703" w:rsidP="001067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immunocompromised people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1DDCF27A" w14:textId="53D9F44E" w:rsidR="00106703" w:rsidRPr="00F4133A" w:rsidRDefault="00106703" w:rsidP="00106703">
            <w:pPr>
              <w:rPr>
                <w:sz w:val="18"/>
                <w:szCs w:val="18"/>
              </w:rPr>
            </w:pPr>
            <w:r w:rsidRPr="00E52F09">
              <w:rPr>
                <w:sz w:val="18"/>
                <w:szCs w:val="18"/>
              </w:rPr>
              <w:t>Similar to those in healthy adults.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404EFEF9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31986954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22560906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068C5CB8" w14:textId="77777777" w:rsidR="00106703" w:rsidRPr="000A56DA" w:rsidRDefault="00106703" w:rsidP="001067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neonates, infants, children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1CDAA3A" w14:textId="6B7E2F39" w:rsidR="00106703" w:rsidRPr="00F4133A" w:rsidRDefault="00106703" w:rsidP="00106703">
            <w:pPr>
              <w:rPr>
                <w:sz w:val="18"/>
                <w:szCs w:val="18"/>
              </w:rPr>
            </w:pPr>
            <w:r w:rsidRPr="00E52F09">
              <w:rPr>
                <w:sz w:val="18"/>
                <w:szCs w:val="18"/>
              </w:rPr>
              <w:t>Similar to those in healthy adults.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A08536D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036705CC" w14:textId="1AFBB911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36D740F0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59A50192" w14:textId="77777777" w:rsidR="00106703" w:rsidRPr="000A56DA" w:rsidRDefault="00106703" w:rsidP="001067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During pregnancy and in the fetus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2A3A2870" w14:textId="158F2299" w:rsidR="00106703" w:rsidRPr="00F4133A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available.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142E27D5" w14:textId="484FB14A" w:rsidR="00106703" w:rsidRPr="00F4133A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few published case studies o</w:t>
            </w: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</w:t>
            </w:r>
            <w:r>
              <w:rPr>
                <w:sz w:val="18"/>
                <w:szCs w:val="18"/>
              </w:rPr>
              <w:t>pah</w:t>
            </w:r>
            <w:proofErr w:type="spellEnd"/>
            <w:r>
              <w:rPr>
                <w:sz w:val="18"/>
                <w:szCs w:val="18"/>
              </w:rPr>
              <w:t xml:space="preserve"> virus </w:t>
            </w:r>
            <w:r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human </w:t>
            </w:r>
            <w:r>
              <w:rPr>
                <w:sz w:val="18"/>
                <w:szCs w:val="18"/>
              </w:rPr>
              <w:t>pregnancy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1F4BB7CF" w14:textId="43BB76E4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2463CE42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7AE30EA0" w14:textId="77777777" w:rsidR="00106703" w:rsidRPr="000A56DA" w:rsidRDefault="00106703" w:rsidP="001067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elderly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73B50F5A" w14:textId="406AD1AD" w:rsidR="00106703" w:rsidRPr="00F4133A" w:rsidRDefault="00106703" w:rsidP="00106703">
            <w:pPr>
              <w:rPr>
                <w:sz w:val="18"/>
                <w:szCs w:val="18"/>
              </w:rPr>
            </w:pPr>
            <w:r w:rsidRPr="00E52F09">
              <w:rPr>
                <w:sz w:val="18"/>
                <w:szCs w:val="18"/>
              </w:rPr>
              <w:t>Similar to those in healthy adults.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41ADA06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152AC211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266157E2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23EC89C7" w14:textId="77777777" w:rsidR="00106703" w:rsidRPr="000A56DA" w:rsidRDefault="00106703" w:rsidP="0010670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rPr>
                <w:b/>
                <w:color w:val="000000"/>
                <w:sz w:val="20"/>
                <w:szCs w:val="20"/>
              </w:rPr>
            </w:pPr>
            <w:r w:rsidRPr="000A56DA">
              <w:rPr>
                <w:color w:val="000000"/>
                <w:sz w:val="20"/>
                <w:szCs w:val="20"/>
              </w:rPr>
              <w:t>In any other special populations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446E5BED" w14:textId="2B5B6869" w:rsidR="00106703" w:rsidRPr="00F4133A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58C97B9F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44986B83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527F07F0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7F754407" w14:textId="77777777" w:rsidR="00106703" w:rsidRPr="000A56DA" w:rsidRDefault="00106703" w:rsidP="00106703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color w:val="000000"/>
                <w:sz w:val="20"/>
                <w:szCs w:val="20"/>
              </w:rPr>
              <w:t xml:space="preserve">5.3 </w:t>
            </w:r>
            <w:r w:rsidRPr="000A56DA">
              <w:rPr>
                <w:color w:val="000000"/>
                <w:sz w:val="20"/>
                <w:szCs w:val="20"/>
              </w:rPr>
              <w:t xml:space="preserve">Briefly, what are the key epidemiologic characteristics of the disease caused by the target pathogen (e.g. </w:t>
            </w:r>
            <w:r w:rsidRPr="000A56DA">
              <w:rPr>
                <w:sz w:val="20"/>
                <w:szCs w:val="20"/>
              </w:rPr>
              <w:t>i</w:t>
            </w:r>
            <w:r w:rsidRPr="000A56DA">
              <w:rPr>
                <w:sz w:val="20"/>
                <w:szCs w:val="20"/>
                <w:highlight w:val="white"/>
              </w:rPr>
              <w:t>ncubation period, communicable period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, </w:t>
            </w:r>
            <w:r w:rsidRPr="000A56DA">
              <w:rPr>
                <w:sz w:val="20"/>
                <w:szCs w:val="20"/>
                <w:highlight w:val="white"/>
              </w:rPr>
              <w:t>route/s of transmission,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 </w:t>
            </w:r>
            <w:r w:rsidRPr="000A56DA">
              <w:rPr>
                <w:sz w:val="20"/>
                <w:szCs w:val="20"/>
                <w:highlight w:val="white"/>
              </w:rPr>
              <w:t>case fatality rate, transmissibility characteristics such as basic reproductive ratio</w:t>
            </w:r>
            <w:r w:rsidRPr="000A56DA">
              <w:rPr>
                <w:i/>
                <w:sz w:val="20"/>
                <w:szCs w:val="20"/>
                <w:highlight w:val="white"/>
              </w:rPr>
              <w:t xml:space="preserve"> (</w:t>
            </w:r>
            <w:r w:rsidRPr="000A56DA">
              <w:rPr>
                <w:sz w:val="20"/>
                <w:szCs w:val="20"/>
                <w:highlight w:val="white"/>
              </w:rPr>
              <w:t>R</w:t>
            </w:r>
            <w:r w:rsidRPr="000A56DA">
              <w:rPr>
                <w:sz w:val="20"/>
                <w:szCs w:val="20"/>
                <w:highlight w:val="white"/>
                <w:vertAlign w:val="subscript"/>
              </w:rPr>
              <w:t>0</w:t>
            </w:r>
            <w:r w:rsidRPr="000A56DA">
              <w:rPr>
                <w:i/>
                <w:sz w:val="20"/>
                <w:szCs w:val="20"/>
                <w:highlight w:val="white"/>
              </w:rPr>
              <w:t>)</w:t>
            </w:r>
            <w:r w:rsidRPr="000A56DA">
              <w:rPr>
                <w:sz w:val="20"/>
                <w:szCs w:val="20"/>
                <w:highlight w:val="white"/>
              </w:rPr>
              <w:t xml:space="preserve"> etc.)</w:t>
            </w:r>
            <w:r w:rsidRPr="000A56DA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2909C740" w14:textId="77777777" w:rsidR="003912BD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Transmission to humans involves direct contact with </w:t>
            </w:r>
            <w:proofErr w:type="spellStart"/>
            <w:r w:rsidRPr="00B300B6">
              <w:rPr>
                <w:i/>
                <w:iCs/>
                <w:sz w:val="18"/>
                <w:szCs w:val="18"/>
              </w:rPr>
              <w:t>Pteropus</w:t>
            </w:r>
            <w:proofErr w:type="spellEnd"/>
            <w:r>
              <w:rPr>
                <w:sz w:val="18"/>
                <w:szCs w:val="18"/>
              </w:rPr>
              <w:t xml:space="preserve"> bats or consumption of raw date palm sap contaminated with bat excretions; direct contact with infectious secretions/excretions of pigs; handling or consumption of horse meat; or direct contact with infectious body fluids of patients.</w:t>
            </w:r>
          </w:p>
          <w:p w14:paraId="76ADA61E" w14:textId="0D2CAA24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Pr="00B6336B">
              <w:rPr>
                <w:sz w:val="18"/>
                <w:szCs w:val="18"/>
              </w:rPr>
              <w:t xml:space="preserve"> </w:t>
            </w:r>
            <w:r w:rsidR="00DE1F91">
              <w:rPr>
                <w:sz w:val="18"/>
                <w:szCs w:val="18"/>
              </w:rPr>
              <w:t>human</w:t>
            </w:r>
            <w:r w:rsidRPr="00B6336B">
              <w:rPr>
                <w:sz w:val="18"/>
                <w:szCs w:val="18"/>
              </w:rPr>
              <w:t>-to-</w:t>
            </w:r>
            <w:r w:rsidR="00DE1F91">
              <w:rPr>
                <w:sz w:val="18"/>
                <w:szCs w:val="18"/>
              </w:rPr>
              <w:t>human</w:t>
            </w:r>
            <w:r w:rsidRPr="00B6336B">
              <w:rPr>
                <w:sz w:val="18"/>
                <w:szCs w:val="18"/>
              </w:rPr>
              <w:t xml:space="preserve"> transmission, </w:t>
            </w:r>
            <w:r>
              <w:rPr>
                <w:sz w:val="18"/>
                <w:szCs w:val="18"/>
              </w:rPr>
              <w:t xml:space="preserve">the </w:t>
            </w:r>
            <w:r w:rsidRPr="00B6336B">
              <w:rPr>
                <w:sz w:val="18"/>
                <w:szCs w:val="18"/>
              </w:rPr>
              <w:t>incubation period is</w:t>
            </w:r>
            <w:r>
              <w:rPr>
                <w:sz w:val="18"/>
                <w:szCs w:val="18"/>
              </w:rPr>
              <w:t xml:space="preserve"> 5</w:t>
            </w:r>
            <w:r w:rsidRPr="00B6336B">
              <w:rPr>
                <w:sz w:val="18"/>
                <w:szCs w:val="18"/>
              </w:rPr>
              <w:t>–1</w:t>
            </w:r>
            <w:r>
              <w:rPr>
                <w:sz w:val="18"/>
                <w:szCs w:val="18"/>
              </w:rPr>
              <w:t>5</w:t>
            </w:r>
            <w:r w:rsidRPr="00B6336B">
              <w:rPr>
                <w:sz w:val="18"/>
                <w:szCs w:val="18"/>
              </w:rPr>
              <w:t xml:space="preserve"> days</w:t>
            </w:r>
            <w:r w:rsidR="002D4749">
              <w:rPr>
                <w:sz w:val="18"/>
                <w:szCs w:val="18"/>
              </w:rPr>
              <w:t xml:space="preserve"> and median serial interval is 13 days (IQR 12–14)</w:t>
            </w:r>
            <w:r w:rsidRPr="00B6336B">
              <w:rPr>
                <w:sz w:val="18"/>
                <w:szCs w:val="18"/>
              </w:rPr>
              <w:t>.</w:t>
            </w:r>
            <w:r w:rsidRPr="00B6336B">
              <w:rPr>
                <w:sz w:val="18"/>
                <w:szCs w:val="18"/>
              </w:rPr>
              <w:t xml:space="preserve"> The </w:t>
            </w:r>
            <w:r w:rsidRPr="00B6336B">
              <w:rPr>
                <w:sz w:val="18"/>
                <w:szCs w:val="18"/>
              </w:rPr>
              <w:t>basic reproductive number (R</w:t>
            </w:r>
            <w:r w:rsidRPr="00B6336B">
              <w:rPr>
                <w:sz w:val="18"/>
                <w:szCs w:val="18"/>
                <w:vertAlign w:val="subscript"/>
              </w:rPr>
              <w:t>0</w:t>
            </w:r>
            <w:r w:rsidRPr="00B6336B">
              <w:rPr>
                <w:sz w:val="18"/>
                <w:szCs w:val="18"/>
              </w:rPr>
              <w:t xml:space="preserve">) is </w:t>
            </w:r>
            <w:r>
              <w:rPr>
                <w:sz w:val="18"/>
                <w:szCs w:val="18"/>
              </w:rPr>
              <w:lastRenderedPageBreak/>
              <w:t xml:space="preserve">estimated </w:t>
            </w:r>
            <w:r w:rsidRPr="00B6336B">
              <w:rPr>
                <w:sz w:val="18"/>
                <w:szCs w:val="18"/>
              </w:rPr>
              <w:t>0.33 (95% CI 0.19–0.59)</w:t>
            </w:r>
            <w:r>
              <w:rPr>
                <w:sz w:val="18"/>
                <w:szCs w:val="18"/>
              </w:rPr>
              <w:t>.</w:t>
            </w:r>
            <w:r w:rsidRPr="00B633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Pr="00B6336B">
              <w:rPr>
                <w:sz w:val="18"/>
                <w:szCs w:val="18"/>
              </w:rPr>
              <w:t>ncreasing age (</w:t>
            </w:r>
            <w:r w:rsidRPr="00B6336B">
              <w:rPr>
                <w:color w:val="222222"/>
                <w:sz w:val="18"/>
                <w:szCs w:val="18"/>
                <w:shd w:val="clear" w:color="auto" w:fill="FFFFFF"/>
              </w:rPr>
              <w:t>≥</w:t>
            </w:r>
            <w:r w:rsidRPr="00B6336B">
              <w:rPr>
                <w:sz w:val="18"/>
                <w:szCs w:val="18"/>
              </w:rPr>
              <w:t xml:space="preserve">45 years) and respiratory symptoms are indicators of infectivity. </w:t>
            </w:r>
          </w:p>
          <w:p w14:paraId="50BFB2F5" w14:textId="5962AA26" w:rsidR="00106703" w:rsidRPr="00F4133A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05B0D">
              <w:rPr>
                <w:sz w:val="18"/>
                <w:szCs w:val="18"/>
              </w:rPr>
              <w:t>bout</w:t>
            </w:r>
            <w:r>
              <w:rPr>
                <w:sz w:val="18"/>
                <w:szCs w:val="18"/>
              </w:rPr>
              <w:t xml:space="preserve"> 40% of the </w:t>
            </w:r>
            <w:r w:rsidR="006556E5">
              <w:rPr>
                <w:sz w:val="18"/>
                <w:szCs w:val="18"/>
              </w:rPr>
              <w:t xml:space="preserve">hospitalized </w:t>
            </w:r>
            <w:r>
              <w:rPr>
                <w:sz w:val="18"/>
                <w:szCs w:val="18"/>
              </w:rPr>
              <w:t xml:space="preserve">patients with serious neurological illness die. The overall </w:t>
            </w:r>
            <w:r w:rsidR="00F676CE">
              <w:rPr>
                <w:sz w:val="18"/>
                <w:szCs w:val="18"/>
              </w:rPr>
              <w:t xml:space="preserve">case fatality in </w:t>
            </w:r>
            <w:proofErr w:type="spellStart"/>
            <w:r w:rsidR="00F676CE">
              <w:rPr>
                <w:sz w:val="18"/>
                <w:szCs w:val="18"/>
              </w:rPr>
              <w:t>Nipah</w:t>
            </w:r>
            <w:proofErr w:type="spellEnd"/>
            <w:r w:rsidR="00F676CE">
              <w:rPr>
                <w:sz w:val="18"/>
                <w:szCs w:val="18"/>
              </w:rPr>
              <w:t xml:space="preserve"> encephalitis outbreaks </w:t>
            </w:r>
            <w:r>
              <w:rPr>
                <w:sz w:val="18"/>
                <w:szCs w:val="18"/>
              </w:rPr>
              <w:t>is 32%–41% in Malaysia</w:t>
            </w:r>
            <w:r w:rsidR="00FB2C3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Singapore and 73% in Bangladesh</w:t>
            </w:r>
            <w:r w:rsidR="00FB2C3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India.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654148ED" w14:textId="7ADE2969" w:rsidR="00106703" w:rsidRPr="00F4133A" w:rsidRDefault="00275ED8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Bat-to-human and human</w:t>
            </w:r>
            <w:r w:rsidR="006F4C55">
              <w:rPr>
                <w:sz w:val="18"/>
                <w:szCs w:val="18"/>
              </w:rPr>
              <w:t>-to-</w:t>
            </w:r>
            <w:r>
              <w:rPr>
                <w:sz w:val="18"/>
                <w:szCs w:val="18"/>
              </w:rPr>
              <w:t>human</w:t>
            </w:r>
            <w:r w:rsidR="006F4C55">
              <w:rPr>
                <w:sz w:val="18"/>
                <w:szCs w:val="18"/>
              </w:rPr>
              <w:t xml:space="preserve"> transmission</w:t>
            </w:r>
            <w:r w:rsidR="0008396B">
              <w:rPr>
                <w:sz w:val="18"/>
                <w:szCs w:val="18"/>
              </w:rPr>
              <w:t>s</w:t>
            </w:r>
            <w:r w:rsidR="006F4C55">
              <w:rPr>
                <w:sz w:val="18"/>
                <w:szCs w:val="18"/>
              </w:rPr>
              <w:t xml:space="preserve"> of </w:t>
            </w:r>
            <w:proofErr w:type="spellStart"/>
            <w:r w:rsidR="006F4C55">
              <w:rPr>
                <w:sz w:val="18"/>
                <w:szCs w:val="18"/>
              </w:rPr>
              <w:t>Nipah</w:t>
            </w:r>
            <w:proofErr w:type="spellEnd"/>
            <w:r w:rsidR="006F4C55">
              <w:rPr>
                <w:sz w:val="18"/>
                <w:szCs w:val="18"/>
              </w:rPr>
              <w:t xml:space="preserve"> virus in India</w:t>
            </w:r>
            <w:r w:rsidR="00FB2C31">
              <w:rPr>
                <w:sz w:val="18"/>
                <w:szCs w:val="18"/>
              </w:rPr>
              <w:t>-</w:t>
            </w:r>
            <w:r w:rsidR="006F4C55">
              <w:rPr>
                <w:sz w:val="18"/>
                <w:szCs w:val="18"/>
              </w:rPr>
              <w:t xml:space="preserve">Bangladesh </w:t>
            </w:r>
            <w:r>
              <w:rPr>
                <w:sz w:val="18"/>
                <w:szCs w:val="18"/>
              </w:rPr>
              <w:t>are</w:t>
            </w:r>
            <w:r w:rsidR="006F4C55">
              <w:rPr>
                <w:sz w:val="18"/>
                <w:szCs w:val="18"/>
              </w:rPr>
              <w:t xml:space="preserve"> regularly reported. In Malaysia</w:t>
            </w:r>
            <w:r w:rsidR="00FB2C31">
              <w:rPr>
                <w:sz w:val="18"/>
                <w:szCs w:val="18"/>
              </w:rPr>
              <w:t>-</w:t>
            </w:r>
            <w:r w:rsidR="006F4C55">
              <w:rPr>
                <w:sz w:val="18"/>
                <w:szCs w:val="18"/>
              </w:rPr>
              <w:t>Singapore, infection of humans occurred through close contact with infected pigs.</w:t>
            </w: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25CA50FD" w14:textId="54D14578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</w:t>
            </w:r>
            <w:r w:rsidR="00CB7F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CB7FC0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actsheet: </w:t>
            </w:r>
            <w:proofErr w:type="spellStart"/>
            <w:r>
              <w:rPr>
                <w:sz w:val="18"/>
                <w:szCs w:val="18"/>
              </w:rPr>
              <w:t>Nipah</w:t>
            </w:r>
            <w:proofErr w:type="spellEnd"/>
            <w:r>
              <w:rPr>
                <w:sz w:val="18"/>
                <w:szCs w:val="18"/>
              </w:rPr>
              <w:t xml:space="preserve"> virus (</w:t>
            </w:r>
            <w:proofErr w:type="spellStart"/>
            <w:r>
              <w:rPr>
                <w:sz w:val="18"/>
                <w:szCs w:val="18"/>
              </w:rPr>
              <w:t>NiV</w:t>
            </w:r>
            <w:proofErr w:type="spellEnd"/>
            <w:r>
              <w:rPr>
                <w:sz w:val="18"/>
                <w:szCs w:val="18"/>
              </w:rPr>
              <w:t xml:space="preserve">). Available at: </w:t>
            </w:r>
            <w:hyperlink r:id="rId10" w:history="1">
              <w:r w:rsidRPr="00F04742">
                <w:rPr>
                  <w:rStyle w:val="Hyperlink"/>
                  <w:sz w:val="18"/>
                  <w:szCs w:val="18"/>
                </w:rPr>
                <w:t>https://www.cdc.gov/vhf/nipah/pdf/factsheet.pdf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B9518A1" w14:textId="30A53C33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Ching PKG et al. </w:t>
            </w:r>
            <w:proofErr w:type="spellStart"/>
            <w:r>
              <w:rPr>
                <w:sz w:val="18"/>
                <w:szCs w:val="18"/>
              </w:rPr>
              <w:t>Emerg</w:t>
            </w:r>
            <w:proofErr w:type="spellEnd"/>
            <w:r>
              <w:rPr>
                <w:sz w:val="18"/>
                <w:szCs w:val="18"/>
              </w:rPr>
              <w:t xml:space="preserve"> Infect Dis </w:t>
            </w:r>
            <w:proofErr w:type="gramStart"/>
            <w:r>
              <w:rPr>
                <w:sz w:val="18"/>
                <w:szCs w:val="18"/>
              </w:rPr>
              <w:t>2015;21:328</w:t>
            </w:r>
            <w:proofErr w:type="gramEnd"/>
            <w:r>
              <w:rPr>
                <w:sz w:val="18"/>
                <w:szCs w:val="18"/>
              </w:rPr>
              <w:t>, doi:10.3201/eid2102.141433</w:t>
            </w:r>
          </w:p>
          <w:p w14:paraId="6F2C0B1C" w14:textId="1890761C" w:rsidR="00106703" w:rsidRDefault="00106703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Luby</w:t>
            </w:r>
            <w:proofErr w:type="spellEnd"/>
            <w:r>
              <w:rPr>
                <w:sz w:val="18"/>
                <w:szCs w:val="18"/>
              </w:rPr>
              <w:t xml:space="preserve"> SP et al. </w:t>
            </w:r>
            <w:proofErr w:type="spellStart"/>
            <w:r>
              <w:rPr>
                <w:sz w:val="18"/>
                <w:szCs w:val="18"/>
              </w:rPr>
              <w:t>Emerg</w:t>
            </w:r>
            <w:proofErr w:type="spellEnd"/>
            <w:r>
              <w:rPr>
                <w:sz w:val="18"/>
                <w:szCs w:val="18"/>
              </w:rPr>
              <w:t xml:space="preserve"> Infect Dis </w:t>
            </w:r>
            <w:proofErr w:type="gramStart"/>
            <w:r>
              <w:rPr>
                <w:sz w:val="18"/>
                <w:szCs w:val="18"/>
              </w:rPr>
              <w:t>2009;15:1229</w:t>
            </w:r>
            <w:proofErr w:type="gramEnd"/>
            <w:r>
              <w:rPr>
                <w:sz w:val="18"/>
                <w:szCs w:val="18"/>
              </w:rPr>
              <w:t>, doi:10.3201/eid1508.081237</w:t>
            </w:r>
          </w:p>
          <w:p w14:paraId="790FC54B" w14:textId="527D36B8" w:rsidR="00106703" w:rsidRDefault="00106703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Nikolay B et al. New </w:t>
            </w:r>
            <w:proofErr w:type="spellStart"/>
            <w:r>
              <w:rPr>
                <w:sz w:val="18"/>
                <w:szCs w:val="18"/>
              </w:rPr>
              <w:t>Engl</w:t>
            </w:r>
            <w:proofErr w:type="spellEnd"/>
            <w:r>
              <w:rPr>
                <w:sz w:val="18"/>
                <w:szCs w:val="18"/>
              </w:rPr>
              <w:t xml:space="preserve"> J Med </w:t>
            </w:r>
            <w:proofErr w:type="gramStart"/>
            <w:r>
              <w:rPr>
                <w:sz w:val="18"/>
                <w:szCs w:val="18"/>
              </w:rPr>
              <w:t>2019;380:1804</w:t>
            </w:r>
            <w:proofErr w:type="gramEnd"/>
            <w:r>
              <w:rPr>
                <w:sz w:val="18"/>
                <w:szCs w:val="18"/>
              </w:rPr>
              <w:t>, doi:10.1056/NEJMoa1805376</w:t>
            </w:r>
          </w:p>
          <w:p w14:paraId="4E03499E" w14:textId="6C33E87B" w:rsidR="00106703" w:rsidRDefault="00106703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Sherrini</w:t>
            </w:r>
            <w:proofErr w:type="spellEnd"/>
            <w:r>
              <w:rPr>
                <w:sz w:val="18"/>
                <w:szCs w:val="18"/>
              </w:rPr>
              <w:t xml:space="preserve"> BA et al. Med J Malaysia 2014;69 Suppl A:103</w:t>
            </w:r>
          </w:p>
          <w:p w14:paraId="195AFBEA" w14:textId="5AF7B2D9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119283EC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6E606A69" w14:textId="77777777" w:rsidR="00106703" w:rsidRPr="000A56DA" w:rsidRDefault="00106703" w:rsidP="00106703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 xml:space="preserve">5.4 </w:t>
            </w:r>
            <w:r w:rsidRPr="000A56DA">
              <w:rPr>
                <w:sz w:val="20"/>
                <w:szCs w:val="20"/>
              </w:rPr>
              <w:t>What sections of the population are most affected by the target pathogen (e.g. pediatric, pregnant, lactating women (breast feeding), adult, elderly)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03DF3163" w14:textId="1FE4E0AB" w:rsidR="00106703" w:rsidRPr="00F4133A" w:rsidRDefault="00A214AA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Nipah</w:t>
            </w:r>
            <w:proofErr w:type="spellEnd"/>
            <w:r w:rsidRPr="00573210">
              <w:rPr>
                <w:sz w:val="18"/>
                <w:szCs w:val="18"/>
              </w:rPr>
              <w:t xml:space="preserve"> occurs in all age groups and both sexes.</w:t>
            </w:r>
            <w:r w:rsidR="001A685E">
              <w:rPr>
                <w:sz w:val="18"/>
                <w:szCs w:val="18"/>
              </w:rPr>
              <w:t xml:space="preserve"> </w:t>
            </w:r>
            <w:r w:rsidR="00CB2E4B">
              <w:rPr>
                <w:sz w:val="18"/>
                <w:szCs w:val="18"/>
              </w:rPr>
              <w:t>The risk of infection is higher</w:t>
            </w:r>
            <w:r w:rsidR="000B7188">
              <w:rPr>
                <w:sz w:val="18"/>
                <w:szCs w:val="18"/>
              </w:rPr>
              <w:t xml:space="preserve"> </w:t>
            </w:r>
            <w:r w:rsidR="00CB2E4B">
              <w:rPr>
                <w:sz w:val="18"/>
                <w:szCs w:val="18"/>
              </w:rPr>
              <w:t xml:space="preserve">among </w:t>
            </w:r>
            <w:r w:rsidR="0071304D">
              <w:rPr>
                <w:sz w:val="18"/>
                <w:szCs w:val="18"/>
              </w:rPr>
              <w:t xml:space="preserve">spouses, </w:t>
            </w:r>
            <w:r w:rsidR="001A685E">
              <w:rPr>
                <w:sz w:val="18"/>
                <w:szCs w:val="18"/>
              </w:rPr>
              <w:t xml:space="preserve">family </w:t>
            </w:r>
            <w:r w:rsidR="0071304D">
              <w:rPr>
                <w:sz w:val="18"/>
                <w:szCs w:val="18"/>
              </w:rPr>
              <w:t xml:space="preserve">members, </w:t>
            </w:r>
            <w:r w:rsidR="001A685E">
              <w:rPr>
                <w:sz w:val="18"/>
                <w:szCs w:val="18"/>
              </w:rPr>
              <w:t xml:space="preserve">and </w:t>
            </w:r>
            <w:r w:rsidR="0071304D">
              <w:rPr>
                <w:sz w:val="18"/>
                <w:szCs w:val="18"/>
              </w:rPr>
              <w:t>principal caregivers</w:t>
            </w:r>
            <w:r w:rsidR="000D7A13">
              <w:rPr>
                <w:sz w:val="18"/>
                <w:szCs w:val="18"/>
              </w:rPr>
              <w:t xml:space="preserve"> of infected individuals</w:t>
            </w:r>
            <w:r w:rsidR="00DD41FF">
              <w:rPr>
                <w:sz w:val="18"/>
                <w:szCs w:val="18"/>
              </w:rPr>
              <w:t>. A</w:t>
            </w:r>
            <w:r w:rsidR="00DE1AD4">
              <w:rPr>
                <w:sz w:val="18"/>
                <w:szCs w:val="18"/>
              </w:rPr>
              <w:t>battoir workers</w:t>
            </w:r>
            <w:r w:rsidR="009E16D7">
              <w:rPr>
                <w:sz w:val="18"/>
                <w:szCs w:val="18"/>
              </w:rPr>
              <w:t xml:space="preserve"> </w:t>
            </w:r>
            <w:r w:rsidR="00DE1AD4">
              <w:rPr>
                <w:sz w:val="18"/>
                <w:szCs w:val="18"/>
              </w:rPr>
              <w:t>and healthcare workers</w:t>
            </w:r>
            <w:r w:rsidR="009E16D7">
              <w:rPr>
                <w:sz w:val="18"/>
                <w:szCs w:val="18"/>
              </w:rPr>
              <w:t xml:space="preserve"> have been affected </w:t>
            </w:r>
            <w:r w:rsidR="008C773D">
              <w:rPr>
                <w:sz w:val="18"/>
                <w:szCs w:val="18"/>
              </w:rPr>
              <w:t xml:space="preserve">by </w:t>
            </w:r>
            <w:proofErr w:type="spellStart"/>
            <w:r w:rsidR="008C773D">
              <w:rPr>
                <w:sz w:val="18"/>
                <w:szCs w:val="18"/>
              </w:rPr>
              <w:t>Nipah</w:t>
            </w:r>
            <w:proofErr w:type="spellEnd"/>
            <w:r w:rsidR="008C773D">
              <w:rPr>
                <w:sz w:val="18"/>
                <w:szCs w:val="18"/>
              </w:rPr>
              <w:t xml:space="preserve"> virus infection </w:t>
            </w:r>
            <w:r w:rsidR="009E16D7">
              <w:rPr>
                <w:sz w:val="18"/>
                <w:szCs w:val="18"/>
              </w:rPr>
              <w:t>in several outbreaks.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4766487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138FF783" w14:textId="5317FF59" w:rsidR="002723EE" w:rsidRDefault="002723EE" w:rsidP="00272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Nikolay B et al. New </w:t>
            </w:r>
            <w:proofErr w:type="spellStart"/>
            <w:r>
              <w:rPr>
                <w:sz w:val="18"/>
                <w:szCs w:val="18"/>
              </w:rPr>
              <w:t>Engl</w:t>
            </w:r>
            <w:proofErr w:type="spellEnd"/>
            <w:r>
              <w:rPr>
                <w:sz w:val="18"/>
                <w:szCs w:val="18"/>
              </w:rPr>
              <w:t xml:space="preserve"> J Med </w:t>
            </w:r>
            <w:proofErr w:type="gramStart"/>
            <w:r>
              <w:rPr>
                <w:sz w:val="18"/>
                <w:szCs w:val="18"/>
              </w:rPr>
              <w:t>2019;380:1804</w:t>
            </w:r>
            <w:proofErr w:type="gramEnd"/>
            <w:r>
              <w:rPr>
                <w:sz w:val="18"/>
                <w:szCs w:val="18"/>
              </w:rPr>
              <w:t>, doi:10.1056/NEJMoa1805376</w:t>
            </w:r>
          </w:p>
          <w:p w14:paraId="6B40974B" w14:textId="1FB21540" w:rsidR="00C53441" w:rsidRDefault="00C53441" w:rsidP="00272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Chew MH et al. J Infect Dis </w:t>
            </w:r>
            <w:proofErr w:type="gramStart"/>
            <w:r>
              <w:rPr>
                <w:sz w:val="18"/>
                <w:szCs w:val="18"/>
              </w:rPr>
              <w:t>2000;181:1760</w:t>
            </w:r>
            <w:proofErr w:type="gramEnd"/>
            <w:r>
              <w:rPr>
                <w:sz w:val="18"/>
                <w:szCs w:val="18"/>
              </w:rPr>
              <w:t>, doi:10.1086/315443</w:t>
            </w:r>
          </w:p>
          <w:p w14:paraId="7E796131" w14:textId="0727B65D" w:rsidR="00106703" w:rsidRPr="00F4133A" w:rsidRDefault="00E85F1C" w:rsidP="00E85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Ching PKG et al. </w:t>
            </w:r>
            <w:proofErr w:type="spellStart"/>
            <w:r>
              <w:rPr>
                <w:sz w:val="18"/>
                <w:szCs w:val="18"/>
              </w:rPr>
              <w:t>Emerg</w:t>
            </w:r>
            <w:proofErr w:type="spellEnd"/>
            <w:r>
              <w:rPr>
                <w:sz w:val="18"/>
                <w:szCs w:val="18"/>
              </w:rPr>
              <w:t xml:space="preserve"> Infect Dis </w:t>
            </w:r>
            <w:proofErr w:type="gramStart"/>
            <w:r>
              <w:rPr>
                <w:sz w:val="18"/>
                <w:szCs w:val="18"/>
              </w:rPr>
              <w:t>2015;21:328</w:t>
            </w:r>
            <w:proofErr w:type="gramEnd"/>
            <w:r>
              <w:rPr>
                <w:sz w:val="18"/>
                <w:szCs w:val="18"/>
              </w:rPr>
              <w:t>, doi:10.3201/eid2102.141433</w:t>
            </w:r>
          </w:p>
        </w:tc>
      </w:tr>
      <w:tr w:rsidR="00106703" w:rsidRPr="000A56DA" w14:paraId="5AB7E3A1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3CDBB699" w14:textId="77777777" w:rsidR="00106703" w:rsidRPr="000A56DA" w:rsidRDefault="00106703" w:rsidP="00106703">
            <w:pPr>
              <w:tabs>
                <w:tab w:val="left" w:pos="447"/>
              </w:tabs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5.5</w:t>
            </w:r>
            <w:r w:rsidRPr="000A56DA">
              <w:rPr>
                <w:sz w:val="20"/>
                <w:szCs w:val="20"/>
              </w:rPr>
              <w:t xml:space="preserve"> What is known about the correlates of protective immunity to the target pathogen or to the disease?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3F8D875" w14:textId="00102665" w:rsidR="00106703" w:rsidRPr="00F4133A" w:rsidRDefault="00FE4FA5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Studies in nonhuman primate models (</w:t>
            </w:r>
            <w:r w:rsidR="00502C48">
              <w:rPr>
                <w:sz w:val="18"/>
                <w:szCs w:val="18"/>
              </w:rPr>
              <w:t>African green monkeys</w:t>
            </w:r>
            <w:r>
              <w:rPr>
                <w:sz w:val="18"/>
                <w:szCs w:val="18"/>
              </w:rPr>
              <w:t>)</w:t>
            </w:r>
            <w:r w:rsidR="005A5EF9">
              <w:rPr>
                <w:sz w:val="18"/>
                <w:szCs w:val="18"/>
              </w:rPr>
              <w:t xml:space="preserve"> </w:t>
            </w:r>
            <w:r w:rsidR="00F94A24">
              <w:rPr>
                <w:sz w:val="18"/>
                <w:szCs w:val="18"/>
              </w:rPr>
              <w:t>indicate that neutralizing antibodies may be protective.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0C94E848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7E1C9995" w14:textId="568CC544" w:rsidR="00106703" w:rsidRDefault="002204DB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Prescott J et al. Vaccine </w:t>
            </w:r>
            <w:proofErr w:type="gramStart"/>
            <w:r>
              <w:rPr>
                <w:sz w:val="18"/>
                <w:szCs w:val="18"/>
              </w:rPr>
              <w:t>2015;33:2823</w:t>
            </w:r>
            <w:proofErr w:type="gramEnd"/>
            <w:r>
              <w:rPr>
                <w:sz w:val="18"/>
                <w:szCs w:val="18"/>
              </w:rPr>
              <w:t>, doi:10.1016/j.vaccine.2015.03.089</w:t>
            </w:r>
          </w:p>
          <w:p w14:paraId="77931F62" w14:textId="6D9CE00E" w:rsidR="002204DB" w:rsidRDefault="002204DB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Bossart</w:t>
            </w:r>
            <w:proofErr w:type="spellEnd"/>
            <w:r>
              <w:rPr>
                <w:sz w:val="18"/>
                <w:szCs w:val="18"/>
              </w:rPr>
              <w:t xml:space="preserve"> KN et al. Sci </w:t>
            </w:r>
            <w:proofErr w:type="spellStart"/>
            <w:r>
              <w:rPr>
                <w:sz w:val="18"/>
                <w:szCs w:val="18"/>
              </w:rPr>
              <w:t>Transl</w:t>
            </w:r>
            <w:proofErr w:type="spellEnd"/>
            <w:r>
              <w:rPr>
                <w:sz w:val="18"/>
                <w:szCs w:val="18"/>
              </w:rPr>
              <w:t xml:space="preserve"> Med </w:t>
            </w:r>
            <w:proofErr w:type="gramStart"/>
            <w:r>
              <w:rPr>
                <w:sz w:val="18"/>
                <w:szCs w:val="18"/>
              </w:rPr>
              <w:t>2012;4:146</w:t>
            </w:r>
            <w:proofErr w:type="gramEnd"/>
            <w:r>
              <w:rPr>
                <w:sz w:val="18"/>
                <w:szCs w:val="18"/>
              </w:rPr>
              <w:t>ra107, doi:10.1126/scitranslmed.3004241</w:t>
            </w:r>
          </w:p>
          <w:p w14:paraId="364C7BD6" w14:textId="129924D9" w:rsidR="002204DB" w:rsidRDefault="002204DB" w:rsidP="001067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Geisbert</w:t>
            </w:r>
            <w:proofErr w:type="spellEnd"/>
            <w:r>
              <w:rPr>
                <w:sz w:val="18"/>
                <w:szCs w:val="18"/>
              </w:rPr>
              <w:t xml:space="preserve"> TW et al. Sci </w:t>
            </w:r>
            <w:proofErr w:type="spellStart"/>
            <w:r>
              <w:rPr>
                <w:sz w:val="18"/>
                <w:szCs w:val="18"/>
              </w:rPr>
              <w:t>Transl</w:t>
            </w:r>
            <w:proofErr w:type="spellEnd"/>
            <w:r>
              <w:rPr>
                <w:sz w:val="18"/>
                <w:szCs w:val="18"/>
              </w:rPr>
              <w:t xml:space="preserve"> Med </w:t>
            </w:r>
            <w:proofErr w:type="gramStart"/>
            <w:r>
              <w:rPr>
                <w:sz w:val="18"/>
                <w:szCs w:val="18"/>
              </w:rPr>
              <w:t>2014;6:242</w:t>
            </w:r>
            <w:proofErr w:type="gramEnd"/>
            <w:r>
              <w:rPr>
                <w:sz w:val="18"/>
                <w:szCs w:val="18"/>
              </w:rPr>
              <w:t>ra82, doi:10.1126/scitranslmed.3008929</w:t>
            </w:r>
          </w:p>
          <w:p w14:paraId="479FDB96" w14:textId="08F019DB" w:rsidR="002204DB" w:rsidRPr="00F4133A" w:rsidRDefault="002204DB" w:rsidP="00106703">
            <w:pPr>
              <w:rPr>
                <w:sz w:val="18"/>
                <w:szCs w:val="18"/>
              </w:rPr>
            </w:pPr>
          </w:p>
        </w:tc>
      </w:tr>
      <w:tr w:rsidR="00106703" w:rsidRPr="000A56DA" w14:paraId="1EEAE253" w14:textId="77777777" w:rsidTr="00A277F5">
        <w:tc>
          <w:tcPr>
            <w:tcW w:w="3300" w:type="dxa"/>
            <w:tcBorders>
              <w:left w:val="single" w:sz="24" w:space="0" w:color="000000"/>
              <w:bottom w:val="single" w:sz="4" w:space="0" w:color="000000"/>
            </w:tcBorders>
          </w:tcPr>
          <w:p w14:paraId="5BA48508" w14:textId="77777777" w:rsidR="00106703" w:rsidRPr="000A56DA" w:rsidRDefault="00106703" w:rsidP="00106703">
            <w:pPr>
              <w:tabs>
                <w:tab w:val="left" w:pos="447"/>
              </w:tabs>
              <w:rPr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 xml:space="preserve">5.6 </w:t>
            </w:r>
            <w:r w:rsidRPr="000A56DA">
              <w:rPr>
                <w:sz w:val="20"/>
                <w:szCs w:val="20"/>
              </w:rPr>
              <w:t>Please describe any other key information about the target pathogen or population that may inform benefit risk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14:paraId="5176F4BB" w14:textId="77777777" w:rsidR="00F90BC2" w:rsidRDefault="00B264A1" w:rsidP="00C031BA">
            <w:pPr>
              <w:rPr>
                <w:sz w:val="18"/>
                <w:szCs w:val="18"/>
              </w:rPr>
            </w:pPr>
            <w:r w:rsidRPr="005F1BA4">
              <w:rPr>
                <w:sz w:val="18"/>
                <w:szCs w:val="18"/>
              </w:rPr>
              <w:t xml:space="preserve">Countries with reported </w:t>
            </w:r>
            <w:proofErr w:type="spellStart"/>
            <w:r w:rsidR="005F1BA4" w:rsidRPr="005F1BA4">
              <w:rPr>
                <w:sz w:val="18"/>
                <w:szCs w:val="18"/>
              </w:rPr>
              <w:t>Henipavirus</w:t>
            </w:r>
            <w:proofErr w:type="spellEnd"/>
            <w:r w:rsidR="005F1BA4" w:rsidRPr="005F1BA4">
              <w:rPr>
                <w:sz w:val="18"/>
                <w:szCs w:val="18"/>
              </w:rPr>
              <w:t xml:space="preserve"> outbreaks </w:t>
            </w:r>
            <w:r w:rsidR="005F1BA4" w:rsidRPr="005F1BA4">
              <w:rPr>
                <w:rFonts w:cs="Segoe UI"/>
                <w:color w:val="212529"/>
                <w:sz w:val="18"/>
                <w:szCs w:val="18"/>
              </w:rPr>
              <w:t>o</w:t>
            </w:r>
            <w:r w:rsidR="005F1BA4" w:rsidRPr="005F1BA4">
              <w:rPr>
                <w:rFonts w:cs="Segoe UI"/>
                <w:color w:val="212529"/>
                <w:sz w:val="18"/>
                <w:szCs w:val="18"/>
              </w:rPr>
              <w:t>r</w:t>
            </w:r>
            <w:r w:rsidR="005F1BA4" w:rsidRPr="005F1BA4">
              <w:rPr>
                <w:rFonts w:cs="Segoe UI"/>
                <w:color w:val="212529"/>
                <w:sz w:val="18"/>
                <w:szCs w:val="18"/>
              </w:rPr>
              <w:t xml:space="preserve"> at risk based on serological evidence or molecular detection in </w:t>
            </w:r>
            <w:proofErr w:type="spellStart"/>
            <w:r w:rsidR="005F1BA4" w:rsidRPr="005F1BA4">
              <w:rPr>
                <w:rFonts w:cs="Segoe UI"/>
                <w:i/>
                <w:iCs/>
                <w:color w:val="212529"/>
                <w:sz w:val="18"/>
                <w:szCs w:val="18"/>
              </w:rPr>
              <w:t>Pteropus</w:t>
            </w:r>
            <w:proofErr w:type="spellEnd"/>
            <w:r w:rsidR="005F1BA4" w:rsidRPr="005F1BA4">
              <w:rPr>
                <w:rFonts w:cs="Segoe UI"/>
                <w:color w:val="212529"/>
                <w:sz w:val="18"/>
                <w:szCs w:val="18"/>
              </w:rPr>
              <w:t xml:space="preserve"> bats</w:t>
            </w:r>
            <w:r w:rsidR="005F1BA4" w:rsidRPr="005F1BA4">
              <w:rPr>
                <w:sz w:val="18"/>
                <w:szCs w:val="18"/>
              </w:rPr>
              <w:t xml:space="preserve"> </w:t>
            </w:r>
            <w:r w:rsidRPr="005F1BA4">
              <w:rPr>
                <w:sz w:val="18"/>
                <w:szCs w:val="18"/>
              </w:rPr>
              <w:t>include</w:t>
            </w:r>
            <w:r w:rsidR="005F1BA4" w:rsidRPr="005F1BA4">
              <w:rPr>
                <w:sz w:val="18"/>
                <w:szCs w:val="18"/>
              </w:rPr>
              <w:t xml:space="preserve"> Australia, Bangladesh, Cambodia, China, India, Indonesia, Madagascar, PNG, Taiwan, and Thailand.</w:t>
            </w:r>
          </w:p>
          <w:p w14:paraId="5190732D" w14:textId="4868E466" w:rsidR="00106703" w:rsidRPr="00B264A1" w:rsidRDefault="00B726FC" w:rsidP="00C03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Geographic range of </w:t>
            </w:r>
            <w:proofErr w:type="spellStart"/>
            <w:r w:rsidR="00B264A1" w:rsidRPr="005F1BA4">
              <w:rPr>
                <w:i/>
                <w:iCs/>
                <w:sz w:val="18"/>
                <w:szCs w:val="18"/>
              </w:rPr>
              <w:t>Pteropus</w:t>
            </w:r>
            <w:proofErr w:type="spellEnd"/>
            <w:r w:rsidR="00B264A1" w:rsidRPr="005F1BA4">
              <w:rPr>
                <w:sz w:val="18"/>
                <w:szCs w:val="18"/>
              </w:rPr>
              <w:t xml:space="preserve"> bats</w:t>
            </w:r>
            <w:r>
              <w:rPr>
                <w:sz w:val="18"/>
                <w:szCs w:val="18"/>
              </w:rPr>
              <w:t xml:space="preserve"> </w:t>
            </w:r>
            <w:r w:rsidR="00B264A1" w:rsidRPr="005F1BA4">
              <w:rPr>
                <w:sz w:val="18"/>
                <w:szCs w:val="18"/>
              </w:rPr>
              <w:t>include</w:t>
            </w:r>
            <w:r w:rsidR="002647A3">
              <w:rPr>
                <w:sz w:val="18"/>
                <w:szCs w:val="18"/>
              </w:rPr>
              <w:t>s</w:t>
            </w:r>
            <w:r w:rsidR="00B264A1" w:rsidRPr="005F1BA4">
              <w:rPr>
                <w:sz w:val="18"/>
                <w:szCs w:val="18"/>
              </w:rPr>
              <w:t xml:space="preserve"> </w:t>
            </w:r>
            <w:r w:rsidR="00B264A1" w:rsidRPr="005F1BA4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 xml:space="preserve">Bhutan, Brunei, China, India, Indonesia, Laos, Madagascar, Myanmar, Nepal, Philippines, PNG, Singapore, Taiwan, Thailand, </w:t>
            </w:r>
            <w:r w:rsidR="00C031BA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 xml:space="preserve">and </w:t>
            </w:r>
            <w:r w:rsidR="00B264A1" w:rsidRPr="005F1BA4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Vietnam</w:t>
            </w:r>
            <w:r w:rsidR="00C031BA">
              <w:rPr>
                <w:rFonts w:cs="Segoe U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2D9F5513" w14:textId="77777777" w:rsidR="00106703" w:rsidRPr="00F4133A" w:rsidRDefault="00106703" w:rsidP="0010670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000000"/>
              <w:right w:val="single" w:sz="24" w:space="0" w:color="000000"/>
            </w:tcBorders>
          </w:tcPr>
          <w:p w14:paraId="548F7791" w14:textId="426E1395" w:rsidR="00106703" w:rsidRPr="00F4133A" w:rsidRDefault="00A93655" w:rsidP="0010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</w:t>
            </w:r>
            <w:r w:rsidR="00CB7F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Nipah</w:t>
            </w:r>
            <w:proofErr w:type="spellEnd"/>
            <w:r>
              <w:rPr>
                <w:sz w:val="18"/>
                <w:szCs w:val="18"/>
              </w:rPr>
              <w:t xml:space="preserve"> virus distribution map. Available at: </w:t>
            </w:r>
            <w:r>
              <w:t xml:space="preserve"> </w:t>
            </w:r>
            <w:hyperlink r:id="rId11" w:history="1">
              <w:r w:rsidRPr="00F04742">
                <w:rPr>
                  <w:rStyle w:val="Hyperlink"/>
                  <w:sz w:val="18"/>
                  <w:szCs w:val="18"/>
                </w:rPr>
                <w:t>https://www.cdc.gov/vhf/nipah/outbreaks/distribution-map.html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06703" w:rsidRPr="000A56DA" w14:paraId="58810C12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FFF99"/>
          </w:tcPr>
          <w:p w14:paraId="33F94C2A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8910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99"/>
            <w:vAlign w:val="center"/>
          </w:tcPr>
          <w:p w14:paraId="7DEBC211" w14:textId="77777777" w:rsidR="00106703" w:rsidRPr="000A56DA" w:rsidRDefault="00106703" w:rsidP="00106703">
            <w:pPr>
              <w:jc w:val="center"/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Information</w:t>
            </w:r>
          </w:p>
        </w:tc>
      </w:tr>
      <w:tr w:rsidR="00106703" w:rsidRPr="000A56DA" w14:paraId="148F5CCC" w14:textId="77777777" w:rsidTr="00A277F5">
        <w:tc>
          <w:tcPr>
            <w:tcW w:w="3300" w:type="dxa"/>
            <w:tcBorders>
              <w:top w:val="single" w:sz="24" w:space="0" w:color="000000"/>
              <w:left w:val="single" w:sz="24" w:space="0" w:color="000000"/>
            </w:tcBorders>
          </w:tcPr>
          <w:p w14:paraId="69B8FF27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10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14:paraId="79217B98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02D63042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5AE7CB36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096BACF0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2ED6FDE1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6E0608E0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88F5C5B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6DA39AC1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08D66D18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2523E8B8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0AA114DD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3874DBFE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6287F1B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3909FBAD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60AA250B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7A5C1120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301B0956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4F08E9D9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2400070B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1B975DBA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18420801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3839C716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62D3F40E" w14:textId="77777777" w:rsidTr="00A277F5">
        <w:tc>
          <w:tcPr>
            <w:tcW w:w="3300" w:type="dxa"/>
            <w:tcBorders>
              <w:left w:val="single" w:sz="24" w:space="0" w:color="000000"/>
            </w:tcBorders>
          </w:tcPr>
          <w:p w14:paraId="18F36E08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910" w:type="dxa"/>
            <w:gridSpan w:val="3"/>
            <w:tcBorders>
              <w:right w:val="single" w:sz="24" w:space="0" w:color="000000"/>
            </w:tcBorders>
          </w:tcPr>
          <w:p w14:paraId="4DD0EAFE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  <w:tr w:rsidR="00106703" w:rsidRPr="000A56DA" w14:paraId="2A47B5BD" w14:textId="77777777" w:rsidTr="00A277F5">
        <w:tc>
          <w:tcPr>
            <w:tcW w:w="3300" w:type="dxa"/>
            <w:tcBorders>
              <w:left w:val="single" w:sz="24" w:space="0" w:color="000000"/>
              <w:bottom w:val="single" w:sz="24" w:space="0" w:color="000000"/>
            </w:tcBorders>
          </w:tcPr>
          <w:p w14:paraId="7846987F" w14:textId="77777777" w:rsidR="00106703" w:rsidRPr="000A56DA" w:rsidRDefault="00106703" w:rsidP="00106703">
            <w:pPr>
              <w:rPr>
                <w:b/>
                <w:sz w:val="20"/>
                <w:szCs w:val="20"/>
              </w:rPr>
            </w:pPr>
            <w:r w:rsidRPr="000A56DA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910" w:type="dxa"/>
            <w:gridSpan w:val="3"/>
            <w:tcBorders>
              <w:bottom w:val="single" w:sz="24" w:space="0" w:color="000000"/>
              <w:right w:val="single" w:sz="24" w:space="0" w:color="000000"/>
            </w:tcBorders>
          </w:tcPr>
          <w:p w14:paraId="4755310E" w14:textId="77777777" w:rsidR="00106703" w:rsidRPr="000A56DA" w:rsidRDefault="00106703" w:rsidP="00106703">
            <w:pPr>
              <w:rPr>
                <w:sz w:val="20"/>
                <w:szCs w:val="20"/>
              </w:rPr>
            </w:pPr>
          </w:p>
        </w:tc>
      </w:tr>
    </w:tbl>
    <w:p w14:paraId="336FBA0E" w14:textId="77777777" w:rsidR="001A146E" w:rsidRPr="000A56DA" w:rsidRDefault="001A146E">
      <w:pPr>
        <w:rPr>
          <w:sz w:val="20"/>
          <w:szCs w:val="20"/>
        </w:rPr>
      </w:pPr>
    </w:p>
    <w:sectPr w:rsidR="001A146E" w:rsidRPr="000A56DA" w:rsidSect="000A56DA">
      <w:pgSz w:w="12240" w:h="15840" w:orient="landscape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502040504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57E"/>
    <w:multiLevelType w:val="multilevel"/>
    <w:tmpl w:val="C3F2D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576FAE"/>
    <w:multiLevelType w:val="multilevel"/>
    <w:tmpl w:val="51A0F2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52078"/>
    <w:multiLevelType w:val="multilevel"/>
    <w:tmpl w:val="A202C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490BAF"/>
    <w:multiLevelType w:val="hybridMultilevel"/>
    <w:tmpl w:val="81762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200B"/>
    <w:multiLevelType w:val="multilevel"/>
    <w:tmpl w:val="21D8D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663E40"/>
    <w:multiLevelType w:val="multilevel"/>
    <w:tmpl w:val="BE5A1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41563C"/>
    <w:multiLevelType w:val="multilevel"/>
    <w:tmpl w:val="267CE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370794"/>
    <w:multiLevelType w:val="multilevel"/>
    <w:tmpl w:val="C3D20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6E"/>
    <w:rsid w:val="00005400"/>
    <w:rsid w:val="000246F7"/>
    <w:rsid w:val="0004147A"/>
    <w:rsid w:val="0004348E"/>
    <w:rsid w:val="000604F7"/>
    <w:rsid w:val="00061522"/>
    <w:rsid w:val="00071285"/>
    <w:rsid w:val="00080FAD"/>
    <w:rsid w:val="0008396B"/>
    <w:rsid w:val="00090904"/>
    <w:rsid w:val="000A56DA"/>
    <w:rsid w:val="000B2AEB"/>
    <w:rsid w:val="000B7188"/>
    <w:rsid w:val="000C0FBC"/>
    <w:rsid w:val="000C6268"/>
    <w:rsid w:val="000D1AFA"/>
    <w:rsid w:val="000D7A13"/>
    <w:rsid w:val="000E08A1"/>
    <w:rsid w:val="000E15F5"/>
    <w:rsid w:val="000E7449"/>
    <w:rsid w:val="00106703"/>
    <w:rsid w:val="00115021"/>
    <w:rsid w:val="00121848"/>
    <w:rsid w:val="001331B9"/>
    <w:rsid w:val="001355AE"/>
    <w:rsid w:val="001402E2"/>
    <w:rsid w:val="00141480"/>
    <w:rsid w:val="00150CA8"/>
    <w:rsid w:val="00153B88"/>
    <w:rsid w:val="00160546"/>
    <w:rsid w:val="00160D12"/>
    <w:rsid w:val="00166557"/>
    <w:rsid w:val="00171243"/>
    <w:rsid w:val="00175719"/>
    <w:rsid w:val="00184A32"/>
    <w:rsid w:val="0019568D"/>
    <w:rsid w:val="001A146E"/>
    <w:rsid w:val="001A64A6"/>
    <w:rsid w:val="001A685E"/>
    <w:rsid w:val="001A723C"/>
    <w:rsid w:val="001B2E0F"/>
    <w:rsid w:val="001B44CC"/>
    <w:rsid w:val="001E0D6C"/>
    <w:rsid w:val="001E39EC"/>
    <w:rsid w:val="002042A5"/>
    <w:rsid w:val="00210190"/>
    <w:rsid w:val="00210790"/>
    <w:rsid w:val="0021628A"/>
    <w:rsid w:val="002204DB"/>
    <w:rsid w:val="00222F74"/>
    <w:rsid w:val="00226BB6"/>
    <w:rsid w:val="002358A7"/>
    <w:rsid w:val="0024280C"/>
    <w:rsid w:val="00242D3A"/>
    <w:rsid w:val="00251D6A"/>
    <w:rsid w:val="0026070B"/>
    <w:rsid w:val="002647A3"/>
    <w:rsid w:val="00266EC7"/>
    <w:rsid w:val="00270FFE"/>
    <w:rsid w:val="002723EE"/>
    <w:rsid w:val="00275ED8"/>
    <w:rsid w:val="002819AE"/>
    <w:rsid w:val="002848D5"/>
    <w:rsid w:val="00286709"/>
    <w:rsid w:val="002A2EBC"/>
    <w:rsid w:val="002C61DC"/>
    <w:rsid w:val="002D4749"/>
    <w:rsid w:val="002E2D80"/>
    <w:rsid w:val="002E6EF2"/>
    <w:rsid w:val="002F7BC6"/>
    <w:rsid w:val="003111D9"/>
    <w:rsid w:val="0031451E"/>
    <w:rsid w:val="003179DB"/>
    <w:rsid w:val="00327B70"/>
    <w:rsid w:val="00341CF5"/>
    <w:rsid w:val="0035118F"/>
    <w:rsid w:val="00382CDD"/>
    <w:rsid w:val="003863B8"/>
    <w:rsid w:val="003912BD"/>
    <w:rsid w:val="00392157"/>
    <w:rsid w:val="003A11F8"/>
    <w:rsid w:val="003B5331"/>
    <w:rsid w:val="003C03F0"/>
    <w:rsid w:val="003C4C6F"/>
    <w:rsid w:val="003C65A6"/>
    <w:rsid w:val="003E771E"/>
    <w:rsid w:val="003F340B"/>
    <w:rsid w:val="003F5FA8"/>
    <w:rsid w:val="0040360F"/>
    <w:rsid w:val="00406D7E"/>
    <w:rsid w:val="004152FA"/>
    <w:rsid w:val="00417691"/>
    <w:rsid w:val="00426F53"/>
    <w:rsid w:val="00427BEA"/>
    <w:rsid w:val="00430685"/>
    <w:rsid w:val="004334C3"/>
    <w:rsid w:val="00440E0C"/>
    <w:rsid w:val="00450CFB"/>
    <w:rsid w:val="0045591E"/>
    <w:rsid w:val="00460DD5"/>
    <w:rsid w:val="00462BF2"/>
    <w:rsid w:val="00475FED"/>
    <w:rsid w:val="00494EB3"/>
    <w:rsid w:val="00496BD2"/>
    <w:rsid w:val="004971E7"/>
    <w:rsid w:val="004A28EB"/>
    <w:rsid w:val="004D2F56"/>
    <w:rsid w:val="004D3F07"/>
    <w:rsid w:val="004E4D83"/>
    <w:rsid w:val="00502C48"/>
    <w:rsid w:val="00502CD9"/>
    <w:rsid w:val="005201BB"/>
    <w:rsid w:val="00525DCC"/>
    <w:rsid w:val="00537C3F"/>
    <w:rsid w:val="0054234B"/>
    <w:rsid w:val="005554AE"/>
    <w:rsid w:val="00556019"/>
    <w:rsid w:val="00556CAD"/>
    <w:rsid w:val="00573210"/>
    <w:rsid w:val="005A06A2"/>
    <w:rsid w:val="005A5EF9"/>
    <w:rsid w:val="005B0871"/>
    <w:rsid w:val="005C59D1"/>
    <w:rsid w:val="005C76D6"/>
    <w:rsid w:val="005E4E20"/>
    <w:rsid w:val="005E537A"/>
    <w:rsid w:val="005F1BA4"/>
    <w:rsid w:val="0062390C"/>
    <w:rsid w:val="006556E5"/>
    <w:rsid w:val="00673912"/>
    <w:rsid w:val="00677E16"/>
    <w:rsid w:val="0068621C"/>
    <w:rsid w:val="00690530"/>
    <w:rsid w:val="006A5811"/>
    <w:rsid w:val="006B1E48"/>
    <w:rsid w:val="006B797F"/>
    <w:rsid w:val="006C445E"/>
    <w:rsid w:val="006D403A"/>
    <w:rsid w:val="006F4C55"/>
    <w:rsid w:val="00704420"/>
    <w:rsid w:val="0071304D"/>
    <w:rsid w:val="0074148F"/>
    <w:rsid w:val="00744C94"/>
    <w:rsid w:val="00763C1C"/>
    <w:rsid w:val="007760FA"/>
    <w:rsid w:val="00790884"/>
    <w:rsid w:val="007A66C5"/>
    <w:rsid w:val="007C39A5"/>
    <w:rsid w:val="007C5641"/>
    <w:rsid w:val="007D2344"/>
    <w:rsid w:val="00813F5A"/>
    <w:rsid w:val="00814BA7"/>
    <w:rsid w:val="0082398E"/>
    <w:rsid w:val="00845E4E"/>
    <w:rsid w:val="008541B3"/>
    <w:rsid w:val="0087317A"/>
    <w:rsid w:val="008828F5"/>
    <w:rsid w:val="00883E45"/>
    <w:rsid w:val="0089617A"/>
    <w:rsid w:val="008A2E09"/>
    <w:rsid w:val="008A33B1"/>
    <w:rsid w:val="008B0482"/>
    <w:rsid w:val="008C06C5"/>
    <w:rsid w:val="008C0DD1"/>
    <w:rsid w:val="008C6CFD"/>
    <w:rsid w:val="008C773D"/>
    <w:rsid w:val="008D0A44"/>
    <w:rsid w:val="008D0E90"/>
    <w:rsid w:val="00902214"/>
    <w:rsid w:val="0090504A"/>
    <w:rsid w:val="00906941"/>
    <w:rsid w:val="00950849"/>
    <w:rsid w:val="00955299"/>
    <w:rsid w:val="00957502"/>
    <w:rsid w:val="009613E3"/>
    <w:rsid w:val="00975774"/>
    <w:rsid w:val="00987999"/>
    <w:rsid w:val="00993983"/>
    <w:rsid w:val="0099620C"/>
    <w:rsid w:val="009A40D5"/>
    <w:rsid w:val="009B2B98"/>
    <w:rsid w:val="009B2D86"/>
    <w:rsid w:val="009B78E0"/>
    <w:rsid w:val="009E16D7"/>
    <w:rsid w:val="00A035DA"/>
    <w:rsid w:val="00A03E84"/>
    <w:rsid w:val="00A03F5A"/>
    <w:rsid w:val="00A051FD"/>
    <w:rsid w:val="00A1170F"/>
    <w:rsid w:val="00A12B14"/>
    <w:rsid w:val="00A166CE"/>
    <w:rsid w:val="00A17695"/>
    <w:rsid w:val="00A17C5F"/>
    <w:rsid w:val="00A214AA"/>
    <w:rsid w:val="00A265F3"/>
    <w:rsid w:val="00A303ED"/>
    <w:rsid w:val="00A4294C"/>
    <w:rsid w:val="00A475E6"/>
    <w:rsid w:val="00A5010D"/>
    <w:rsid w:val="00A8543D"/>
    <w:rsid w:val="00A873A0"/>
    <w:rsid w:val="00A93655"/>
    <w:rsid w:val="00AA07AC"/>
    <w:rsid w:val="00AA2B83"/>
    <w:rsid w:val="00AA318B"/>
    <w:rsid w:val="00AA5C3D"/>
    <w:rsid w:val="00AA678C"/>
    <w:rsid w:val="00AB58E3"/>
    <w:rsid w:val="00AC0405"/>
    <w:rsid w:val="00AC2A6C"/>
    <w:rsid w:val="00AC2CE2"/>
    <w:rsid w:val="00AC62BA"/>
    <w:rsid w:val="00AF46E1"/>
    <w:rsid w:val="00B05B0D"/>
    <w:rsid w:val="00B11734"/>
    <w:rsid w:val="00B22F96"/>
    <w:rsid w:val="00B264A1"/>
    <w:rsid w:val="00B300B6"/>
    <w:rsid w:val="00B50FAB"/>
    <w:rsid w:val="00B6336B"/>
    <w:rsid w:val="00B63643"/>
    <w:rsid w:val="00B64D20"/>
    <w:rsid w:val="00B726FC"/>
    <w:rsid w:val="00B81B65"/>
    <w:rsid w:val="00BA1703"/>
    <w:rsid w:val="00BB7B52"/>
    <w:rsid w:val="00BC17FA"/>
    <w:rsid w:val="00BC52E8"/>
    <w:rsid w:val="00BC658F"/>
    <w:rsid w:val="00BE5CBA"/>
    <w:rsid w:val="00BF4D94"/>
    <w:rsid w:val="00C031BA"/>
    <w:rsid w:val="00C12BF2"/>
    <w:rsid w:val="00C17764"/>
    <w:rsid w:val="00C22C96"/>
    <w:rsid w:val="00C23922"/>
    <w:rsid w:val="00C31139"/>
    <w:rsid w:val="00C52F8A"/>
    <w:rsid w:val="00C53441"/>
    <w:rsid w:val="00C548C8"/>
    <w:rsid w:val="00C55418"/>
    <w:rsid w:val="00C57982"/>
    <w:rsid w:val="00C57C13"/>
    <w:rsid w:val="00C71DEC"/>
    <w:rsid w:val="00C778F4"/>
    <w:rsid w:val="00C82A8B"/>
    <w:rsid w:val="00C916FD"/>
    <w:rsid w:val="00C92B86"/>
    <w:rsid w:val="00CB2E4B"/>
    <w:rsid w:val="00CB7FC0"/>
    <w:rsid w:val="00CC073B"/>
    <w:rsid w:val="00CC0E5F"/>
    <w:rsid w:val="00CC2FCD"/>
    <w:rsid w:val="00CC442E"/>
    <w:rsid w:val="00CD40E4"/>
    <w:rsid w:val="00CF14BF"/>
    <w:rsid w:val="00CF77D4"/>
    <w:rsid w:val="00D04611"/>
    <w:rsid w:val="00D11A3A"/>
    <w:rsid w:val="00D1665F"/>
    <w:rsid w:val="00D3423C"/>
    <w:rsid w:val="00D346D3"/>
    <w:rsid w:val="00D37D9E"/>
    <w:rsid w:val="00D45FF4"/>
    <w:rsid w:val="00D5465F"/>
    <w:rsid w:val="00D71897"/>
    <w:rsid w:val="00D72DCA"/>
    <w:rsid w:val="00D773B6"/>
    <w:rsid w:val="00D93C1E"/>
    <w:rsid w:val="00DA7A25"/>
    <w:rsid w:val="00DB5768"/>
    <w:rsid w:val="00DD41FF"/>
    <w:rsid w:val="00DE0D23"/>
    <w:rsid w:val="00DE1AD4"/>
    <w:rsid w:val="00DE1F91"/>
    <w:rsid w:val="00DE6636"/>
    <w:rsid w:val="00E03AC5"/>
    <w:rsid w:val="00E05BD4"/>
    <w:rsid w:val="00E127E8"/>
    <w:rsid w:val="00E25CFC"/>
    <w:rsid w:val="00E314A3"/>
    <w:rsid w:val="00E33C7B"/>
    <w:rsid w:val="00E374E2"/>
    <w:rsid w:val="00E40B9B"/>
    <w:rsid w:val="00E52F09"/>
    <w:rsid w:val="00E55381"/>
    <w:rsid w:val="00E61246"/>
    <w:rsid w:val="00E726FC"/>
    <w:rsid w:val="00E731DE"/>
    <w:rsid w:val="00E76EB3"/>
    <w:rsid w:val="00E85F1C"/>
    <w:rsid w:val="00E93D90"/>
    <w:rsid w:val="00EC0602"/>
    <w:rsid w:val="00EC2C7F"/>
    <w:rsid w:val="00EC3CB9"/>
    <w:rsid w:val="00EC65BB"/>
    <w:rsid w:val="00ED1E3C"/>
    <w:rsid w:val="00ED2100"/>
    <w:rsid w:val="00EE3AE1"/>
    <w:rsid w:val="00EF0278"/>
    <w:rsid w:val="00EF2911"/>
    <w:rsid w:val="00EF30FD"/>
    <w:rsid w:val="00EF495C"/>
    <w:rsid w:val="00EF5A4A"/>
    <w:rsid w:val="00F25B5D"/>
    <w:rsid w:val="00F263E9"/>
    <w:rsid w:val="00F4133A"/>
    <w:rsid w:val="00F47D98"/>
    <w:rsid w:val="00F51A65"/>
    <w:rsid w:val="00F676CE"/>
    <w:rsid w:val="00F81E9E"/>
    <w:rsid w:val="00F9042B"/>
    <w:rsid w:val="00F90BC2"/>
    <w:rsid w:val="00F94A24"/>
    <w:rsid w:val="00F95AF8"/>
    <w:rsid w:val="00FB2C31"/>
    <w:rsid w:val="00FD2483"/>
    <w:rsid w:val="00FD5C9B"/>
    <w:rsid w:val="00FE2D88"/>
    <w:rsid w:val="00FE4FA5"/>
    <w:rsid w:val="00FE747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15DF"/>
  <w15:docId w15:val="{4DC865E0-AF1F-4A42-979C-9836F89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55"/>
    <w:rPr>
      <w:rFonts w:eastAsia="Times New Roma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eastAsia="PMingLiU"/>
      <w:b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eastAsia="PMingLiU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eastAsia="PMingLiU"/>
      <w:b/>
      <w:sz w:val="28"/>
      <w:szCs w:val="28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eastAsia="PMingLiU"/>
      <w:b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eastAsia="PMingLiU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eastAsia="PMingLiU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eastAsia="PMingLiU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61AE1"/>
    <w:pPr>
      <w:ind w:left="720"/>
      <w:contextualSpacing/>
    </w:pPr>
    <w:rPr>
      <w:rFonts w:eastAsia="PMingLiU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E1"/>
    <w:rPr>
      <w:rFonts w:ascii="Segoe UI" w:eastAsia="PMingLiU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0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672"/>
    <w:rPr>
      <w:rFonts w:eastAsia="PMingLiU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672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A07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321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3C0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1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7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13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vhf/nipah/outbreaks/distribution-map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dc.gov/vhf/nipah/pdf/factsheet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dc.gov/vhf/nipah/pdf/fact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25C5F14FF4D6478C1FC49F317856DF" ma:contentTypeVersion="11" ma:contentTypeDescription="Crear nuevo documento." ma:contentTypeScope="" ma:versionID="dd78aa72d59335ddd8b43195383707f6">
  <xsd:schema xmlns:xsd="http://www.w3.org/2001/XMLSchema" xmlns:xs="http://www.w3.org/2001/XMLSchema" xmlns:p="http://schemas.microsoft.com/office/2006/metadata/properties" xmlns:ns2="cd3aa6b3-72e6-46d8-814b-d2ef3ba1625b" xmlns:ns3="d2430cc8-b339-4939-b2a0-1336e147faf9" targetNamespace="http://schemas.microsoft.com/office/2006/metadata/properties" ma:root="true" ma:fieldsID="23d350f07bc58077003643bd9c9ae176" ns2:_="" ns3:_="">
    <xsd:import namespace="cd3aa6b3-72e6-46d8-814b-d2ef3ba1625b"/>
    <xsd:import namespace="d2430cc8-b339-4939-b2a0-1336e147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aa6b3-72e6-46d8-814b-d2ef3ba1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30cc8-b339-4939-b2a0-1336e147f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zYW9R2urXvmFf6rWY3WWm5kew==">AMUW2mWEiojBg+7k0LQFUXfVZOV3KZCpEKvJAzkP47dmQ5yWKztBl1gqHVtMgkctWe+6DJpLh4EVOMqIchedyfrfJ0nQFYcT96/HQi5ay3VWyBbhKAV/Je7qL7dhBxGwivlXMbIdx0epT1hFVNoPgoPDJ1n9xZRhbnjC6c/XJhzkGQgP6RH4hoU=</go:docsCustomData>
</go:gDocsCustomXmlDataStorage>
</file>

<file path=customXml/itemProps1.xml><?xml version="1.0" encoding="utf-8"?>
<ds:datastoreItem xmlns:ds="http://schemas.openxmlformats.org/officeDocument/2006/customXml" ds:itemID="{3E93F620-33B0-47AC-8E5D-A0DEB81FD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aa6b3-72e6-46d8-814b-d2ef3ba1625b"/>
    <ds:schemaRef ds:uri="d2430cc8-b339-4939-b2a0-1336e147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20EDC-6683-487F-8077-50B884AF9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B6F5A-9741-4ACD-9D32-03A246459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Chen</dc:creator>
  <cp:lastModifiedBy>Microsoft Office User</cp:lastModifiedBy>
  <cp:revision>296</cp:revision>
  <dcterms:created xsi:type="dcterms:W3CDTF">2020-10-27T22:13:00Z</dcterms:created>
  <dcterms:modified xsi:type="dcterms:W3CDTF">2020-10-28T08:33:00Z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0x010100E125C5F14FF4D6478C1FC49F317856DF</vt:lpwstr>
  </property>
</Properties>
</file>