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0"/>
        <w:tblpPr w:leftFromText="180" w:rightFromText="180" w:horzAnchor="page" w:tblpX="1" w:tblpY="-1440"/>
        <w:tblW w:w="12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2790"/>
        <w:gridCol w:w="3330"/>
        <w:gridCol w:w="2790"/>
      </w:tblGrid>
      <w:tr w:rsidR="000E7449" w:rsidRPr="000A56DA" w14:paraId="2630EC29" w14:textId="77777777" w:rsidTr="00A277F5">
        <w:tc>
          <w:tcPr>
            <w:tcW w:w="12210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FF"/>
            <w:vAlign w:val="center"/>
          </w:tcPr>
          <w:p w14:paraId="45EAA79F" w14:textId="77777777" w:rsidR="000E7449" w:rsidRPr="000A56DA" w:rsidRDefault="000E7449" w:rsidP="00A277F5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A56DA">
              <w:rPr>
                <w:rFonts w:eastAsia="Arial"/>
                <w:b/>
                <w:sz w:val="20"/>
                <w:szCs w:val="20"/>
              </w:rPr>
              <w:t>Brighton Collaboration Viral Vector Vaccines Safety Working Group (V3SWG)</w:t>
            </w:r>
          </w:p>
          <w:p w14:paraId="562D62B7" w14:textId="77777777" w:rsidR="000E7449" w:rsidRPr="000A56DA" w:rsidRDefault="000E7449" w:rsidP="00A277F5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rFonts w:eastAsia="Arial"/>
                <w:b/>
                <w:sz w:val="20"/>
                <w:szCs w:val="20"/>
              </w:rPr>
              <w:t>Standardized Template V2.1 for Collection of Key Information for Risk Assessment of Viral Vaccine Vector Candidates</w:t>
            </w:r>
          </w:p>
        </w:tc>
      </w:tr>
      <w:tr w:rsidR="000E7449" w:rsidRPr="000A56DA" w14:paraId="1636E3E1" w14:textId="77777777" w:rsidTr="00A277F5">
        <w:tc>
          <w:tcPr>
            <w:tcW w:w="33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3DE0A707" w14:textId="77777777" w:rsidR="000E7449" w:rsidRPr="000A56DA" w:rsidRDefault="000E7449" w:rsidP="00A277F5">
            <w:pPr>
              <w:tabs>
                <w:tab w:val="left" w:pos="447"/>
              </w:tabs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5. Target Pathogen and Population</w:t>
            </w:r>
          </w:p>
        </w:tc>
        <w:tc>
          <w:tcPr>
            <w:tcW w:w="279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6E7491FB" w14:textId="77777777" w:rsidR="000E7449" w:rsidRPr="000A56DA" w:rsidRDefault="000E7449" w:rsidP="00A277F5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333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09112D3E" w14:textId="77777777" w:rsidR="000E7449" w:rsidRPr="000A56DA" w:rsidRDefault="000E7449" w:rsidP="00A277F5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Comments/Concerns</w:t>
            </w:r>
          </w:p>
        </w:tc>
        <w:tc>
          <w:tcPr>
            <w:tcW w:w="279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99"/>
          </w:tcPr>
          <w:p w14:paraId="73015C17" w14:textId="77777777" w:rsidR="000E7449" w:rsidRPr="000A56DA" w:rsidRDefault="000E7449" w:rsidP="00A277F5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Reference(s)</w:t>
            </w:r>
          </w:p>
        </w:tc>
      </w:tr>
      <w:tr w:rsidR="000E7449" w:rsidRPr="000A56DA" w14:paraId="6F69407C" w14:textId="77777777" w:rsidTr="00A277F5">
        <w:tc>
          <w:tcPr>
            <w:tcW w:w="330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14:paraId="52D0FC97" w14:textId="77777777" w:rsidR="000E7449" w:rsidRPr="000A56DA" w:rsidRDefault="000E7449" w:rsidP="00A277F5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color w:val="000000"/>
                <w:sz w:val="20"/>
                <w:szCs w:val="20"/>
              </w:rPr>
              <w:t xml:space="preserve">5.1 </w:t>
            </w:r>
            <w:r w:rsidRPr="000A56DA">
              <w:rPr>
                <w:color w:val="000000"/>
                <w:sz w:val="20"/>
                <w:szCs w:val="20"/>
              </w:rPr>
              <w:t>What is the target pathogen?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4" w:space="0" w:color="000000"/>
            </w:tcBorders>
          </w:tcPr>
          <w:p w14:paraId="3676FC21" w14:textId="075388C6" w:rsidR="000E7449" w:rsidRPr="002543B8" w:rsidRDefault="0042202C" w:rsidP="00A277F5">
            <w:pPr>
              <w:rPr>
                <w:sz w:val="18"/>
                <w:szCs w:val="18"/>
              </w:rPr>
            </w:pPr>
            <w:r w:rsidRPr="002543B8">
              <w:rPr>
                <w:sz w:val="18"/>
                <w:szCs w:val="18"/>
              </w:rPr>
              <w:t>Middle East respiratory syndrome virus (</w:t>
            </w:r>
            <w:r w:rsidR="005207E2" w:rsidRPr="002543B8">
              <w:rPr>
                <w:sz w:val="18"/>
                <w:szCs w:val="18"/>
              </w:rPr>
              <w:t>MERS-</w:t>
            </w:r>
            <w:proofErr w:type="spellStart"/>
            <w:r w:rsidR="005207E2" w:rsidRPr="002543B8">
              <w:rPr>
                <w:sz w:val="18"/>
                <w:szCs w:val="18"/>
              </w:rPr>
              <w:t>CoV</w:t>
            </w:r>
            <w:proofErr w:type="spellEnd"/>
            <w:r w:rsidRPr="002543B8">
              <w:rPr>
                <w:sz w:val="18"/>
                <w:szCs w:val="18"/>
              </w:rPr>
              <w:t>)</w:t>
            </w:r>
          </w:p>
        </w:tc>
        <w:tc>
          <w:tcPr>
            <w:tcW w:w="3330" w:type="dxa"/>
            <w:tcBorders>
              <w:top w:val="single" w:sz="24" w:space="0" w:color="000000"/>
              <w:bottom w:val="single" w:sz="4" w:space="0" w:color="000000"/>
            </w:tcBorders>
          </w:tcPr>
          <w:p w14:paraId="0DB35E93" w14:textId="36B0C01C" w:rsidR="000E7449" w:rsidRPr="002543B8" w:rsidRDefault="0048118C" w:rsidP="00A277F5">
            <w:pPr>
              <w:rPr>
                <w:sz w:val="18"/>
                <w:szCs w:val="18"/>
              </w:rPr>
            </w:pPr>
            <w:r w:rsidRPr="002543B8">
              <w:rPr>
                <w:sz w:val="18"/>
                <w:szCs w:val="18"/>
              </w:rPr>
              <w:t>MERS-</w:t>
            </w:r>
            <w:proofErr w:type="spellStart"/>
            <w:r w:rsidRPr="002543B8">
              <w:rPr>
                <w:sz w:val="18"/>
                <w:szCs w:val="18"/>
              </w:rPr>
              <w:t>CoV</w:t>
            </w:r>
            <w:proofErr w:type="spellEnd"/>
            <w:r w:rsidRPr="002543B8">
              <w:rPr>
                <w:sz w:val="18"/>
                <w:szCs w:val="18"/>
              </w:rPr>
              <w:t xml:space="preserve">, a member of the subfamily </w:t>
            </w:r>
            <w:proofErr w:type="spellStart"/>
            <w:r w:rsidRPr="002543B8">
              <w:rPr>
                <w:i/>
                <w:iCs/>
                <w:sz w:val="18"/>
                <w:szCs w:val="18"/>
              </w:rPr>
              <w:t>Coronavirinae</w:t>
            </w:r>
            <w:proofErr w:type="spellEnd"/>
            <w:r w:rsidRPr="002543B8">
              <w:rPr>
                <w:sz w:val="18"/>
                <w:szCs w:val="18"/>
              </w:rPr>
              <w:t>, is an enveloped, +</w:t>
            </w:r>
            <w:proofErr w:type="spellStart"/>
            <w:r w:rsidRPr="002543B8">
              <w:rPr>
                <w:sz w:val="18"/>
                <w:szCs w:val="18"/>
              </w:rPr>
              <w:t>ssRNA</w:t>
            </w:r>
            <w:proofErr w:type="spellEnd"/>
            <w:r w:rsidRPr="002543B8">
              <w:rPr>
                <w:sz w:val="18"/>
                <w:szCs w:val="18"/>
              </w:rPr>
              <w:t xml:space="preserve"> virus of the genus </w:t>
            </w:r>
            <w:proofErr w:type="spellStart"/>
            <w:r w:rsidRPr="002543B8">
              <w:rPr>
                <w:i/>
                <w:iCs/>
                <w:sz w:val="18"/>
                <w:szCs w:val="18"/>
              </w:rPr>
              <w:t>Betacoronavirus</w:t>
            </w:r>
            <w:proofErr w:type="spellEnd"/>
            <w:r w:rsidRPr="002543B8">
              <w:rPr>
                <w:i/>
                <w:iCs/>
                <w:sz w:val="18"/>
                <w:szCs w:val="18"/>
              </w:rPr>
              <w:t xml:space="preserve"> </w:t>
            </w:r>
            <w:r w:rsidRPr="002543B8">
              <w:rPr>
                <w:sz w:val="18"/>
                <w:szCs w:val="18"/>
              </w:rPr>
              <w:t xml:space="preserve">and subgenus </w:t>
            </w:r>
            <w:proofErr w:type="spellStart"/>
            <w:r w:rsidRPr="002543B8">
              <w:rPr>
                <w:i/>
                <w:iCs/>
                <w:sz w:val="18"/>
                <w:szCs w:val="18"/>
              </w:rPr>
              <w:t>Merbecovirus</w:t>
            </w:r>
            <w:proofErr w:type="spellEnd"/>
            <w:r w:rsidRPr="002543B8">
              <w:rPr>
                <w:sz w:val="18"/>
                <w:szCs w:val="18"/>
              </w:rPr>
              <w:t>.</w:t>
            </w:r>
            <w:r w:rsidR="00F30ACC">
              <w:rPr>
                <w:sz w:val="18"/>
                <w:szCs w:val="18"/>
              </w:rPr>
              <w:t xml:space="preserve"> The virus enters host cells after binding the virus spike glycoprotein to the dipeptidyl peptidase 4 (DPP-4) receptor.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53FE60D" w14:textId="69D0D876" w:rsidR="000E7449" w:rsidRPr="002543B8" w:rsidRDefault="00FD79D3" w:rsidP="00A2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EC5C6C" w:rsidRPr="002543B8">
              <w:rPr>
                <w:sz w:val="18"/>
                <w:szCs w:val="18"/>
              </w:rPr>
              <w:t xml:space="preserve">e Groot et al. J </w:t>
            </w:r>
            <w:proofErr w:type="spellStart"/>
            <w:r w:rsidR="00EC5C6C" w:rsidRPr="002543B8">
              <w:rPr>
                <w:sz w:val="18"/>
                <w:szCs w:val="18"/>
              </w:rPr>
              <w:t>Virol</w:t>
            </w:r>
            <w:proofErr w:type="spellEnd"/>
            <w:r w:rsidR="00EC5C6C" w:rsidRPr="002543B8">
              <w:rPr>
                <w:sz w:val="18"/>
                <w:szCs w:val="18"/>
              </w:rPr>
              <w:t xml:space="preserve"> </w:t>
            </w:r>
            <w:proofErr w:type="gramStart"/>
            <w:r w:rsidR="00EC5C6C" w:rsidRPr="002543B8">
              <w:rPr>
                <w:sz w:val="18"/>
                <w:szCs w:val="18"/>
              </w:rPr>
              <w:t>2013;87:7790</w:t>
            </w:r>
            <w:proofErr w:type="gramEnd"/>
            <w:r w:rsidR="00EC5C6C" w:rsidRPr="002543B8">
              <w:rPr>
                <w:sz w:val="18"/>
                <w:szCs w:val="18"/>
              </w:rPr>
              <w:t>, doi:10.1128/JVI.01244-13</w:t>
            </w:r>
          </w:p>
        </w:tc>
      </w:tr>
      <w:tr w:rsidR="000E7449" w:rsidRPr="000A56DA" w14:paraId="19DC3949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33DBC4FE" w14:textId="77777777" w:rsidR="000E7449" w:rsidRPr="000A56DA" w:rsidRDefault="000E7449" w:rsidP="00A277F5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color w:val="000000"/>
                <w:sz w:val="20"/>
                <w:szCs w:val="20"/>
              </w:rPr>
              <w:t xml:space="preserve">5.2 </w:t>
            </w:r>
            <w:r w:rsidRPr="000A56DA">
              <w:rPr>
                <w:sz w:val="20"/>
                <w:szCs w:val="20"/>
              </w:rPr>
              <w:t>What are the disease manifestations caused by the target pathogen in humans, for the following categories: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11210623" w14:textId="77777777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3AF53998" w14:textId="77777777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6CAF3DA1" w14:textId="77777777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</w:tr>
      <w:tr w:rsidR="000E7449" w:rsidRPr="000A56DA" w14:paraId="511B6317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308E594C" w14:textId="77777777" w:rsidR="000E7449" w:rsidRPr="000A56DA" w:rsidRDefault="000E7449" w:rsidP="00A277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healthy people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60047FCA" w14:textId="3C985650" w:rsidR="000E7449" w:rsidRPr="002543B8" w:rsidRDefault="003621BD" w:rsidP="00A2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Clinical spectrum </w:t>
            </w:r>
            <w:r w:rsidR="00E80872">
              <w:rPr>
                <w:sz w:val="18"/>
                <w:szCs w:val="18"/>
              </w:rPr>
              <w:t xml:space="preserve">of MERS </w:t>
            </w:r>
            <w:r>
              <w:rPr>
                <w:sz w:val="18"/>
                <w:szCs w:val="18"/>
              </w:rPr>
              <w:t>ranges from asymptomatic infection (25%) to acute upper respiratory illness, rapidly progressive pneumonitis, respiratory failure, septic shock</w:t>
            </w:r>
            <w:r w:rsidR="003C2C4B">
              <w:rPr>
                <w:rFonts w:eastAsia="Noto Sans CJK TC Regular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multi-organ failure resulting in death.</w:t>
            </w:r>
            <w:r w:rsidR="007A4CC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Mild and asymptomatic infections have occurred predominantly among young and healthy persons, including healthcare workers.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59DA7164" w14:textId="27E33852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3CB217E2" w14:textId="77777777" w:rsidR="000E7449" w:rsidRDefault="007A4CC9" w:rsidP="00A277F5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28E8">
              <w:rPr>
                <w:color w:val="000000" w:themeColor="text1"/>
                <w:sz w:val="18"/>
                <w:szCs w:val="18"/>
              </w:rPr>
              <w:t xml:space="preserve">Arabi et al. New Engl J Med </w:t>
            </w:r>
            <w:proofErr w:type="gramStart"/>
            <w:r w:rsidRPr="007F28E8">
              <w:rPr>
                <w:color w:val="000000" w:themeColor="text1"/>
                <w:sz w:val="18"/>
                <w:szCs w:val="18"/>
              </w:rPr>
              <w:t>2017;376:584</w:t>
            </w:r>
            <w:proofErr w:type="gramEnd"/>
            <w:r w:rsidRPr="007F28E8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F28E8">
              <w:rPr>
                <w:color w:val="000000" w:themeColor="text1"/>
                <w:sz w:val="18"/>
                <w:szCs w:val="18"/>
              </w:rPr>
              <w:t>doi</w:t>
            </w:r>
            <w:proofErr w:type="spellEnd"/>
            <w:r w:rsidRPr="007F28E8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>10.1056/NEJMsr1408795</w:t>
            </w:r>
          </w:p>
          <w:p w14:paraId="401068D4" w14:textId="6E98FDE0" w:rsidR="007A4CC9" w:rsidRDefault="007A4CC9" w:rsidP="00A277F5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Oboho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et al. New Engl J Med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2015;372:846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, doi:10.1056/NEJMoa1408636</w:t>
            </w:r>
          </w:p>
          <w:p w14:paraId="7E506944" w14:textId="6DE34F4F" w:rsidR="007A4CC9" w:rsidRDefault="007A4CC9" w:rsidP="00A277F5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KCDC. </w:t>
            </w:r>
            <w:proofErr w:type="spellStart"/>
            <w:r>
              <w:rPr>
                <w:sz w:val="18"/>
                <w:szCs w:val="18"/>
              </w:rPr>
              <w:t>Osong</w:t>
            </w:r>
            <w:proofErr w:type="spellEnd"/>
            <w:r>
              <w:rPr>
                <w:sz w:val="18"/>
                <w:szCs w:val="18"/>
              </w:rPr>
              <w:t xml:space="preserve"> Public Health Res </w:t>
            </w:r>
            <w:proofErr w:type="spellStart"/>
            <w:r>
              <w:rPr>
                <w:sz w:val="18"/>
                <w:szCs w:val="18"/>
              </w:rPr>
              <w:t>Perspect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2016;7:138</w:t>
            </w:r>
            <w:proofErr w:type="gramEnd"/>
            <w:r>
              <w:rPr>
                <w:sz w:val="18"/>
                <w:szCs w:val="18"/>
              </w:rPr>
              <w:t>, doi:10.1016/j.phrp.2016.03.002</w:t>
            </w:r>
          </w:p>
          <w:p w14:paraId="45C27BFD" w14:textId="7305C982" w:rsidR="007A4CC9" w:rsidRPr="002543B8" w:rsidRDefault="007A4CC9" w:rsidP="00A277F5">
            <w:pPr>
              <w:rPr>
                <w:sz w:val="18"/>
                <w:szCs w:val="18"/>
              </w:rPr>
            </w:pPr>
          </w:p>
        </w:tc>
      </w:tr>
      <w:tr w:rsidR="000E7449" w:rsidRPr="000A56DA" w14:paraId="3F0D914F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22B53C74" w14:textId="77777777" w:rsidR="000E7449" w:rsidRPr="000A56DA" w:rsidRDefault="000E7449" w:rsidP="00A277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immunocompromised people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1DDCF27A" w14:textId="3E0F70AF" w:rsidR="000E7449" w:rsidRPr="002543B8" w:rsidRDefault="00B64293" w:rsidP="00A277F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C</w:t>
            </w:r>
            <w:r w:rsidRPr="007A4CC9">
              <w:rPr>
                <w:color w:val="000000" w:themeColor="text1"/>
                <w:sz w:val="18"/>
                <w:szCs w:val="18"/>
                <w:shd w:val="clear" w:color="auto" w:fill="FFFFFF"/>
              </w:rPr>
              <w:t>ancer or persons receiving immunosuppressive therapy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r w:rsidR="00F63BFA">
              <w:rPr>
                <w:rStyle w:val="normaltextrun"/>
                <w:sz w:val="18"/>
                <w:szCs w:val="18"/>
              </w:rPr>
              <w:t>are at increased risk of severe illness from MERS.</w:t>
            </w:r>
            <w:r w:rsidR="00F63BFA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404EFEF9" w14:textId="77777777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31986954" w14:textId="1DD1F846" w:rsidR="000E7449" w:rsidRPr="00F63BFA" w:rsidRDefault="00F63BFA" w:rsidP="00F63BFA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28E8">
              <w:rPr>
                <w:color w:val="000000" w:themeColor="text1"/>
                <w:sz w:val="18"/>
                <w:szCs w:val="18"/>
              </w:rPr>
              <w:t xml:space="preserve">Arabi et al. New Engl J Med </w:t>
            </w:r>
            <w:proofErr w:type="gramStart"/>
            <w:r w:rsidRPr="007F28E8">
              <w:rPr>
                <w:color w:val="000000" w:themeColor="text1"/>
                <w:sz w:val="18"/>
                <w:szCs w:val="18"/>
              </w:rPr>
              <w:t>2017;376:584</w:t>
            </w:r>
            <w:proofErr w:type="gramEnd"/>
            <w:r w:rsidRPr="007F28E8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F28E8">
              <w:rPr>
                <w:color w:val="000000" w:themeColor="text1"/>
                <w:sz w:val="18"/>
                <w:szCs w:val="18"/>
              </w:rPr>
              <w:t>doi</w:t>
            </w:r>
            <w:proofErr w:type="spellEnd"/>
            <w:r w:rsidRPr="007F28E8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>10.1056/NEJMsr1408795</w:t>
            </w:r>
          </w:p>
        </w:tc>
      </w:tr>
      <w:tr w:rsidR="000E7449" w:rsidRPr="000A56DA" w14:paraId="22560906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068C5CB8" w14:textId="77777777" w:rsidR="000E7449" w:rsidRPr="000A56DA" w:rsidRDefault="000E7449" w:rsidP="00A277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neonates, infants, children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51CDAA3A" w14:textId="17306358" w:rsidR="000E7449" w:rsidRPr="002543B8" w:rsidRDefault="007F28E8" w:rsidP="00A2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Childhood MERS-</w:t>
            </w:r>
            <w:proofErr w:type="spellStart"/>
            <w:r>
              <w:rPr>
                <w:sz w:val="18"/>
                <w:szCs w:val="18"/>
              </w:rPr>
              <w:t>CoV</w:t>
            </w:r>
            <w:proofErr w:type="spellEnd"/>
            <w:r>
              <w:rPr>
                <w:sz w:val="18"/>
                <w:szCs w:val="18"/>
              </w:rPr>
              <w:t xml:space="preserve"> infections are uncommon.</w:t>
            </w:r>
            <w:r w:rsidR="003621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Most cases are asymptomatic and tested positive during contact investigation of older adults.</w:t>
            </w:r>
            <w:r w:rsidR="003D32B9">
              <w:rPr>
                <w:sz w:val="18"/>
                <w:szCs w:val="18"/>
              </w:rPr>
              <w:t xml:space="preserve"> Sever</w:t>
            </w:r>
            <w:r w:rsidR="005E1E3F">
              <w:rPr>
                <w:sz w:val="18"/>
                <w:szCs w:val="18"/>
              </w:rPr>
              <w:t>e</w:t>
            </w:r>
            <w:r w:rsidR="003D32B9">
              <w:rPr>
                <w:sz w:val="18"/>
                <w:szCs w:val="18"/>
              </w:rPr>
              <w:t xml:space="preserve"> cases can occur in children with underlying conditions.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5A08536D" w14:textId="77777777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036705CC" w14:textId="33D2E9BB" w:rsidR="007F28E8" w:rsidRPr="007F28E8" w:rsidRDefault="007F28E8" w:rsidP="0042711B">
            <w:proofErr w:type="spellStart"/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>Memish</w:t>
            </w:r>
            <w:proofErr w:type="spellEnd"/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et al. </w:t>
            </w:r>
            <w:proofErr w:type="spellStart"/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>Pediatr</w:t>
            </w:r>
            <w:proofErr w:type="spellEnd"/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Infect Dis J </w:t>
            </w:r>
            <w:proofErr w:type="gramStart"/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>2014;33:904</w:t>
            </w:r>
            <w:proofErr w:type="gramEnd"/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>, doi:10.1097/INF.</w:t>
            </w:r>
            <w:r w:rsidRPr="007F28E8">
              <w:rPr>
                <w:color w:val="3B3030"/>
                <w:sz w:val="18"/>
                <w:szCs w:val="18"/>
                <w:shd w:val="clear" w:color="auto" w:fill="FFFFFF"/>
              </w:rPr>
              <w:t xml:space="preserve"> 0000000000000325</w:t>
            </w:r>
          </w:p>
        </w:tc>
      </w:tr>
      <w:tr w:rsidR="000E7449" w:rsidRPr="000A56DA" w14:paraId="36D740F0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59A50192" w14:textId="77777777" w:rsidR="000E7449" w:rsidRPr="000A56DA" w:rsidRDefault="000E7449" w:rsidP="00A277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During pregnancy and in the fetus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2A3A2870" w14:textId="24513BCC" w:rsidR="000E7449" w:rsidRPr="00664CC7" w:rsidRDefault="00E05442" w:rsidP="00664CC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Among the </w:t>
            </w:r>
            <w:r w:rsidR="00664CC7" w:rsidRPr="00664CC7">
              <w:rPr>
                <w:color w:val="000000"/>
                <w:sz w:val="18"/>
                <w:szCs w:val="18"/>
                <w:shd w:val="clear" w:color="auto" w:fill="FFFFFF"/>
              </w:rPr>
              <w:t>9 reported cases of MERS-</w:t>
            </w:r>
            <w:proofErr w:type="spellStart"/>
            <w:r w:rsidR="00664CC7" w:rsidRPr="00664CC7">
              <w:rPr>
                <w:color w:val="000000"/>
                <w:sz w:val="18"/>
                <w:szCs w:val="18"/>
                <w:shd w:val="clear" w:color="auto" w:fill="FFFFFF"/>
              </w:rPr>
              <w:t>CoV</w:t>
            </w:r>
            <w:proofErr w:type="spellEnd"/>
            <w:r w:rsidR="00664CC7" w:rsidRPr="00664CC7">
              <w:rPr>
                <w:color w:val="000000"/>
                <w:sz w:val="18"/>
                <w:szCs w:val="18"/>
                <w:shd w:val="clear" w:color="auto" w:fill="FFFFFF"/>
              </w:rPr>
              <w:t xml:space="preserve"> infection during pregnancy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664CC7" w:rsidRPr="00664CC7">
              <w:rPr>
                <w:color w:val="000000"/>
                <w:sz w:val="18"/>
                <w:szCs w:val="18"/>
                <w:shd w:val="clear" w:color="auto" w:fill="FFFFFF"/>
              </w:rPr>
              <w:t xml:space="preserve"> gestational age on confirmation for infection was 5 months to 38 weeks</w:t>
            </w:r>
            <w:r w:rsidR="00FE7F6A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  <w:r w:rsidR="00664CC7" w:rsidRPr="00664CC7">
              <w:rPr>
                <w:color w:val="000000"/>
                <w:sz w:val="18"/>
                <w:szCs w:val="18"/>
                <w:shd w:val="clear" w:color="auto" w:fill="FFFFFF"/>
              </w:rPr>
              <w:t xml:space="preserve"> maternal outcomes included ICU</w:t>
            </w:r>
            <w:r w:rsidR="007A1B2C">
              <w:rPr>
                <w:color w:val="000000"/>
                <w:sz w:val="18"/>
                <w:szCs w:val="18"/>
                <w:shd w:val="clear" w:color="auto" w:fill="FFFFFF"/>
              </w:rPr>
              <w:t xml:space="preserve"> admission </w:t>
            </w:r>
            <w:r w:rsidR="00664CC7" w:rsidRPr="00664CC7">
              <w:rPr>
                <w:color w:val="000000"/>
                <w:sz w:val="18"/>
                <w:szCs w:val="18"/>
                <w:shd w:val="clear" w:color="auto" w:fill="FFFFFF"/>
              </w:rPr>
              <w:t>(5) and death (3), with preterm birth (5) and stillbirth (3) reported.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142E27D5" w14:textId="77777777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1F4BB7CF" w14:textId="0F863546" w:rsidR="000E7449" w:rsidRPr="002543B8" w:rsidRDefault="00664CC7" w:rsidP="00A2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Jeong et al. J Korean Med Sci </w:t>
            </w:r>
            <w:proofErr w:type="gramStart"/>
            <w:r>
              <w:rPr>
                <w:sz w:val="18"/>
                <w:szCs w:val="18"/>
              </w:rPr>
              <w:t>2017;32:1717</w:t>
            </w:r>
            <w:proofErr w:type="gramEnd"/>
            <w:r>
              <w:rPr>
                <w:sz w:val="18"/>
                <w:szCs w:val="18"/>
              </w:rPr>
              <w:t>, doi:10.3346/jkms.2017.32.10.1717</w:t>
            </w:r>
          </w:p>
        </w:tc>
      </w:tr>
      <w:tr w:rsidR="000E7449" w:rsidRPr="000A56DA" w14:paraId="2463CE42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7AE30EA0" w14:textId="77777777" w:rsidR="000E7449" w:rsidRPr="000A56DA" w:rsidRDefault="000E7449" w:rsidP="00A277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elderly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73B50F5A" w14:textId="1B607CDE" w:rsidR="000E7449" w:rsidRPr="002543B8" w:rsidRDefault="006822D4" w:rsidP="00A2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Older age (&gt;50 years) and co</w:t>
            </w:r>
            <w:r w:rsidR="00216814">
              <w:rPr>
                <w:sz w:val="18"/>
                <w:szCs w:val="18"/>
              </w:rPr>
              <w:t>-</w:t>
            </w:r>
            <w:r w:rsidR="00FC75FF">
              <w:rPr>
                <w:sz w:val="18"/>
                <w:szCs w:val="18"/>
              </w:rPr>
              <w:t>/multi-</w:t>
            </w:r>
            <w:r>
              <w:rPr>
                <w:sz w:val="18"/>
                <w:szCs w:val="18"/>
              </w:rPr>
              <w:t>morbidities have been associated with s</w:t>
            </w:r>
            <w:r w:rsidR="00F52945">
              <w:rPr>
                <w:sz w:val="18"/>
                <w:szCs w:val="18"/>
              </w:rPr>
              <w:t xml:space="preserve">evere </w:t>
            </w:r>
            <w:r w:rsidR="00270886">
              <w:rPr>
                <w:sz w:val="18"/>
                <w:szCs w:val="18"/>
              </w:rPr>
              <w:t>MERS</w:t>
            </w:r>
            <w:r>
              <w:rPr>
                <w:sz w:val="18"/>
                <w:szCs w:val="18"/>
              </w:rPr>
              <w:t xml:space="preserve"> and death among infected patients.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041ADA06" w14:textId="77777777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7FDF87CA" w14:textId="77777777" w:rsidR="00464B5E" w:rsidRPr="004F09CD" w:rsidRDefault="00464B5E" w:rsidP="00464B5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28E8">
              <w:rPr>
                <w:color w:val="000000" w:themeColor="text1"/>
                <w:sz w:val="18"/>
                <w:szCs w:val="18"/>
              </w:rPr>
              <w:t xml:space="preserve">Arabi et al. New Engl J Med </w:t>
            </w:r>
            <w:proofErr w:type="gramStart"/>
            <w:r w:rsidRPr="007F28E8">
              <w:rPr>
                <w:color w:val="000000" w:themeColor="text1"/>
                <w:sz w:val="18"/>
                <w:szCs w:val="18"/>
              </w:rPr>
              <w:t>2017;376:584</w:t>
            </w:r>
            <w:proofErr w:type="gramEnd"/>
            <w:r w:rsidRPr="007F28E8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F28E8">
              <w:rPr>
                <w:color w:val="000000" w:themeColor="text1"/>
                <w:sz w:val="18"/>
                <w:szCs w:val="18"/>
              </w:rPr>
              <w:t>doi</w:t>
            </w:r>
            <w:proofErr w:type="spellEnd"/>
            <w:r w:rsidRPr="007F28E8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>10.1056/NEJMsr1408795</w:t>
            </w:r>
          </w:p>
          <w:p w14:paraId="152AC211" w14:textId="70593607" w:rsidR="000E7449" w:rsidRPr="002543B8" w:rsidRDefault="00464B5E" w:rsidP="00A2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KCDC. </w:t>
            </w:r>
            <w:proofErr w:type="spellStart"/>
            <w:r>
              <w:rPr>
                <w:sz w:val="18"/>
                <w:szCs w:val="18"/>
              </w:rPr>
              <w:t>Osong</w:t>
            </w:r>
            <w:proofErr w:type="spellEnd"/>
            <w:r>
              <w:rPr>
                <w:sz w:val="18"/>
                <w:szCs w:val="18"/>
              </w:rPr>
              <w:t xml:space="preserve"> Public Health Res </w:t>
            </w:r>
            <w:proofErr w:type="spellStart"/>
            <w:r>
              <w:rPr>
                <w:sz w:val="18"/>
                <w:szCs w:val="18"/>
              </w:rPr>
              <w:t>Perspect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2016;7:138</w:t>
            </w:r>
            <w:proofErr w:type="gramEnd"/>
            <w:r>
              <w:rPr>
                <w:sz w:val="18"/>
                <w:szCs w:val="18"/>
              </w:rPr>
              <w:t>, doi:10.1016/j.phrp.2016.03.002</w:t>
            </w:r>
          </w:p>
        </w:tc>
      </w:tr>
      <w:tr w:rsidR="000E7449" w:rsidRPr="000A56DA" w14:paraId="266157E2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23EC89C7" w14:textId="77777777" w:rsidR="000E7449" w:rsidRPr="000A56DA" w:rsidRDefault="000E7449" w:rsidP="00A277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any other special populations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446E5BED" w14:textId="58EC2514" w:rsidR="000E7449" w:rsidRPr="007A4CC9" w:rsidRDefault="00DF265C" w:rsidP="007A4C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P</w:t>
            </w:r>
            <w:r w:rsidR="00913559">
              <w:rPr>
                <w:color w:val="000000" w:themeColor="text1"/>
                <w:sz w:val="18"/>
                <w:szCs w:val="18"/>
                <w:shd w:val="clear" w:color="auto" w:fill="FFFFFF"/>
              </w:rPr>
              <w:t>eople</w:t>
            </w:r>
            <w:r w:rsidR="007A4CC9" w:rsidRPr="007A4CC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who have </w:t>
            </w:r>
            <w:r w:rsidR="00061F9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the following </w:t>
            </w:r>
            <w:r w:rsidR="007A4CC9" w:rsidRPr="007A4CC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coexisting conditions </w:t>
            </w:r>
            <w:r w:rsidR="00061F97">
              <w:rPr>
                <w:sz w:val="18"/>
                <w:szCs w:val="18"/>
              </w:rPr>
              <w:t xml:space="preserve">are at increased risk of severe illness from MERS: </w:t>
            </w:r>
            <w:r w:rsidR="007A4CC9" w:rsidRPr="007A4CC9">
              <w:rPr>
                <w:color w:val="000000" w:themeColor="text1"/>
                <w:sz w:val="18"/>
                <w:szCs w:val="18"/>
                <w:shd w:val="clear" w:color="auto" w:fill="FFFFFF"/>
              </w:rPr>
              <w:t>diabetes, hypertension, cardiac disease, obesity, chronic</w:t>
            </w:r>
            <w:r w:rsidR="00D5049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7A4CC9" w:rsidRPr="007A4CC9">
              <w:rPr>
                <w:color w:val="000000" w:themeColor="text1"/>
                <w:sz w:val="18"/>
                <w:szCs w:val="18"/>
                <w:shd w:val="clear" w:color="auto" w:fill="FFFFFF"/>
              </w:rPr>
              <w:t>respiratory disease, end-stage renal disease, or cancer or in persons receiving immunosuppressive therapy</w:t>
            </w:r>
            <w:r w:rsidR="007A4CC9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58C97B9F" w14:textId="77777777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44986B83" w14:textId="079B69E3" w:rsidR="000E7449" w:rsidRPr="00FF09A9" w:rsidRDefault="00FF09A9" w:rsidP="00FF09A9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28E8">
              <w:rPr>
                <w:color w:val="000000" w:themeColor="text1"/>
                <w:sz w:val="18"/>
                <w:szCs w:val="18"/>
              </w:rPr>
              <w:t xml:space="preserve">Arabi et al. New Engl J Med </w:t>
            </w:r>
            <w:proofErr w:type="gramStart"/>
            <w:r w:rsidRPr="007F28E8">
              <w:rPr>
                <w:color w:val="000000" w:themeColor="text1"/>
                <w:sz w:val="18"/>
                <w:szCs w:val="18"/>
              </w:rPr>
              <w:t>2017;376:584</w:t>
            </w:r>
            <w:proofErr w:type="gramEnd"/>
            <w:r w:rsidRPr="007F28E8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F28E8">
              <w:rPr>
                <w:color w:val="000000" w:themeColor="text1"/>
                <w:sz w:val="18"/>
                <w:szCs w:val="18"/>
              </w:rPr>
              <w:t>doi</w:t>
            </w:r>
            <w:proofErr w:type="spellEnd"/>
            <w:r w:rsidRPr="007F28E8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>10.1056/NEJMsr1408795</w:t>
            </w:r>
          </w:p>
        </w:tc>
      </w:tr>
      <w:tr w:rsidR="000E7449" w:rsidRPr="000A56DA" w14:paraId="527F07F0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7F754407" w14:textId="77777777" w:rsidR="000E7449" w:rsidRPr="000A56DA" w:rsidRDefault="000E7449" w:rsidP="00A277F5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color w:val="000000"/>
                <w:sz w:val="20"/>
                <w:szCs w:val="20"/>
              </w:rPr>
              <w:lastRenderedPageBreak/>
              <w:t xml:space="preserve">5.3 </w:t>
            </w:r>
            <w:r w:rsidRPr="000A56DA">
              <w:rPr>
                <w:color w:val="000000"/>
                <w:sz w:val="20"/>
                <w:szCs w:val="20"/>
              </w:rPr>
              <w:t xml:space="preserve">Briefly, what are the key epidemiologic characteristics of the disease caused by the target pathogen (e.g. </w:t>
            </w:r>
            <w:r w:rsidRPr="000A56DA">
              <w:rPr>
                <w:sz w:val="20"/>
                <w:szCs w:val="20"/>
              </w:rPr>
              <w:t>i</w:t>
            </w:r>
            <w:r w:rsidRPr="000A56DA">
              <w:rPr>
                <w:sz w:val="20"/>
                <w:szCs w:val="20"/>
                <w:highlight w:val="white"/>
              </w:rPr>
              <w:t>ncubation period, communicable period</w:t>
            </w:r>
            <w:r w:rsidRPr="000A56DA">
              <w:rPr>
                <w:i/>
                <w:sz w:val="20"/>
                <w:szCs w:val="20"/>
                <w:highlight w:val="white"/>
              </w:rPr>
              <w:t xml:space="preserve">, </w:t>
            </w:r>
            <w:r w:rsidRPr="000A56DA">
              <w:rPr>
                <w:sz w:val="20"/>
                <w:szCs w:val="20"/>
                <w:highlight w:val="white"/>
              </w:rPr>
              <w:t>route/s of transmission,</w:t>
            </w:r>
            <w:r w:rsidRPr="000A56DA">
              <w:rPr>
                <w:i/>
                <w:sz w:val="20"/>
                <w:szCs w:val="20"/>
                <w:highlight w:val="white"/>
              </w:rPr>
              <w:t xml:space="preserve"> </w:t>
            </w:r>
            <w:r w:rsidRPr="000A56DA">
              <w:rPr>
                <w:sz w:val="20"/>
                <w:szCs w:val="20"/>
                <w:highlight w:val="white"/>
              </w:rPr>
              <w:t>case fatality rate, transmissibility characteristics such as basic reproductive ratio</w:t>
            </w:r>
            <w:r w:rsidRPr="000A56DA">
              <w:rPr>
                <w:i/>
                <w:sz w:val="20"/>
                <w:szCs w:val="20"/>
                <w:highlight w:val="white"/>
              </w:rPr>
              <w:t xml:space="preserve"> (</w:t>
            </w:r>
            <w:r w:rsidRPr="000A56DA">
              <w:rPr>
                <w:sz w:val="20"/>
                <w:szCs w:val="20"/>
                <w:highlight w:val="white"/>
              </w:rPr>
              <w:t>R</w:t>
            </w:r>
            <w:r w:rsidRPr="000A56DA">
              <w:rPr>
                <w:sz w:val="20"/>
                <w:szCs w:val="20"/>
                <w:highlight w:val="white"/>
                <w:vertAlign w:val="subscript"/>
              </w:rPr>
              <w:t>0</w:t>
            </w:r>
            <w:r w:rsidRPr="000A56DA">
              <w:rPr>
                <w:i/>
                <w:sz w:val="20"/>
                <w:szCs w:val="20"/>
                <w:highlight w:val="white"/>
              </w:rPr>
              <w:t>)</w:t>
            </w:r>
            <w:r w:rsidRPr="000A56DA">
              <w:rPr>
                <w:sz w:val="20"/>
                <w:szCs w:val="20"/>
                <w:highlight w:val="white"/>
              </w:rPr>
              <w:t xml:space="preserve"> etc.)</w:t>
            </w:r>
            <w:r w:rsidRPr="000A56DA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50BFB2F5" w14:textId="03B594E8" w:rsidR="000E7449" w:rsidRPr="00902BD0" w:rsidRDefault="00783207" w:rsidP="00A27667">
            <w:pPr>
              <w:rPr>
                <w:sz w:val="18"/>
                <w:szCs w:val="18"/>
              </w:rPr>
            </w:pPr>
            <w:r w:rsidRPr="00A27667">
              <w:rPr>
                <w:sz w:val="18"/>
                <w:szCs w:val="18"/>
              </w:rPr>
              <w:t>Transmission</w:t>
            </w:r>
            <w:r w:rsidR="00CA04BE" w:rsidRPr="00A27667">
              <w:rPr>
                <w:sz w:val="18"/>
                <w:szCs w:val="18"/>
              </w:rPr>
              <w:t xml:space="preserve"> </w:t>
            </w:r>
            <w:r w:rsidR="002006BF">
              <w:rPr>
                <w:sz w:val="18"/>
                <w:szCs w:val="18"/>
              </w:rPr>
              <w:t>of MERS-</w:t>
            </w:r>
            <w:proofErr w:type="spellStart"/>
            <w:r w:rsidR="002006BF">
              <w:rPr>
                <w:sz w:val="18"/>
                <w:szCs w:val="18"/>
              </w:rPr>
              <w:t>CoV</w:t>
            </w:r>
            <w:proofErr w:type="spellEnd"/>
            <w:r w:rsidR="002006BF">
              <w:rPr>
                <w:sz w:val="18"/>
                <w:szCs w:val="18"/>
              </w:rPr>
              <w:t xml:space="preserve"> has been documented for </w:t>
            </w:r>
            <w:r w:rsidR="003F5C54" w:rsidRPr="00A27667">
              <w:rPr>
                <w:sz w:val="18"/>
                <w:szCs w:val="18"/>
              </w:rPr>
              <w:t>animal</w:t>
            </w:r>
            <w:r w:rsidR="00CA04BE" w:rsidRPr="00A27667">
              <w:rPr>
                <w:sz w:val="18"/>
                <w:szCs w:val="18"/>
              </w:rPr>
              <w:t xml:space="preserve"> </w:t>
            </w:r>
            <w:r w:rsidR="00CE62A2">
              <w:rPr>
                <w:sz w:val="18"/>
                <w:szCs w:val="18"/>
              </w:rPr>
              <w:t>(</w:t>
            </w:r>
            <w:r w:rsidR="002465EC">
              <w:rPr>
                <w:sz w:val="18"/>
                <w:szCs w:val="18"/>
              </w:rPr>
              <w:t xml:space="preserve">dromedary </w:t>
            </w:r>
            <w:r w:rsidR="00CE62A2">
              <w:rPr>
                <w:sz w:val="18"/>
                <w:szCs w:val="18"/>
              </w:rPr>
              <w:t>camel</w:t>
            </w:r>
            <w:r w:rsidR="002465EC">
              <w:rPr>
                <w:sz w:val="18"/>
                <w:szCs w:val="18"/>
              </w:rPr>
              <w:t>s</w:t>
            </w:r>
            <w:r w:rsidR="00CE62A2">
              <w:rPr>
                <w:sz w:val="18"/>
                <w:szCs w:val="18"/>
              </w:rPr>
              <w:t xml:space="preserve">) </w:t>
            </w:r>
            <w:r w:rsidR="00CA04BE" w:rsidRPr="00A27667">
              <w:rPr>
                <w:sz w:val="18"/>
                <w:szCs w:val="18"/>
              </w:rPr>
              <w:t>to human</w:t>
            </w:r>
            <w:r w:rsidR="003F5C54" w:rsidRPr="00A27667">
              <w:rPr>
                <w:sz w:val="18"/>
                <w:szCs w:val="18"/>
              </w:rPr>
              <w:t xml:space="preserve"> </w:t>
            </w:r>
            <w:r w:rsidR="000A5100">
              <w:rPr>
                <w:sz w:val="18"/>
                <w:szCs w:val="18"/>
              </w:rPr>
              <w:t>and</w:t>
            </w:r>
            <w:r w:rsidR="00CA04BE" w:rsidRPr="00A27667">
              <w:rPr>
                <w:sz w:val="18"/>
                <w:szCs w:val="18"/>
              </w:rPr>
              <w:t xml:space="preserve"> </w:t>
            </w:r>
            <w:r w:rsidRPr="00A27667">
              <w:rPr>
                <w:sz w:val="18"/>
                <w:szCs w:val="18"/>
              </w:rPr>
              <w:t>human to human</w:t>
            </w:r>
            <w:r w:rsidR="000A5100">
              <w:rPr>
                <w:sz w:val="18"/>
                <w:szCs w:val="18"/>
              </w:rPr>
              <w:t xml:space="preserve"> (</w:t>
            </w:r>
            <w:r w:rsidR="00426CD6">
              <w:rPr>
                <w:sz w:val="18"/>
                <w:szCs w:val="18"/>
              </w:rPr>
              <w:t xml:space="preserve">in </w:t>
            </w:r>
            <w:r w:rsidR="000A5100">
              <w:rPr>
                <w:sz w:val="18"/>
                <w:szCs w:val="18"/>
              </w:rPr>
              <w:t>healthcare and household settings)</w:t>
            </w:r>
            <w:r w:rsidRPr="00A27667">
              <w:rPr>
                <w:sz w:val="18"/>
                <w:szCs w:val="18"/>
              </w:rPr>
              <w:t>.</w:t>
            </w:r>
            <w:r w:rsidR="00902BD0">
              <w:rPr>
                <w:sz w:val="18"/>
                <w:szCs w:val="18"/>
              </w:rPr>
              <w:t xml:space="preserve"> </w:t>
            </w:r>
            <w:r w:rsidRPr="00A27667">
              <w:rPr>
                <w:sz w:val="18"/>
                <w:szCs w:val="18"/>
              </w:rPr>
              <w:t xml:space="preserve">The median incubation period for secondary cases associated with limited human-to-human transmission is </w:t>
            </w:r>
            <w:r w:rsidR="003E3FC0">
              <w:rPr>
                <w:sz w:val="18"/>
                <w:szCs w:val="18"/>
              </w:rPr>
              <w:t>estimated</w:t>
            </w:r>
            <w:r w:rsidRPr="00A27667">
              <w:rPr>
                <w:sz w:val="18"/>
                <w:szCs w:val="18"/>
              </w:rPr>
              <w:t xml:space="preserve"> 5 days (range 2–14).</w:t>
            </w:r>
            <w:r w:rsidR="00902BD0">
              <w:rPr>
                <w:sz w:val="18"/>
                <w:szCs w:val="18"/>
              </w:rPr>
              <w:t xml:space="preserve"> </w:t>
            </w:r>
            <w:r w:rsidR="00765A4C" w:rsidRPr="00A27667">
              <w:rPr>
                <w:sz w:val="18"/>
                <w:szCs w:val="18"/>
              </w:rPr>
              <w:t xml:space="preserve">The case-fatality </w:t>
            </w:r>
            <w:r w:rsidR="005566BB">
              <w:rPr>
                <w:sz w:val="18"/>
                <w:szCs w:val="18"/>
              </w:rPr>
              <w:t>proportion</w:t>
            </w:r>
            <w:r w:rsidR="00765A4C" w:rsidRPr="00A27667">
              <w:rPr>
                <w:sz w:val="18"/>
                <w:szCs w:val="18"/>
              </w:rPr>
              <w:t xml:space="preserve"> is approximately 35%.</w:t>
            </w:r>
            <w:r w:rsidR="00902BD0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D2C34">
              <w:rPr>
                <w:color w:val="000000"/>
                <w:sz w:val="18"/>
                <w:szCs w:val="18"/>
                <w:shd w:val="clear" w:color="auto" w:fill="FFFFFF"/>
              </w:rPr>
              <w:t xml:space="preserve">Overall, </w:t>
            </w:r>
            <w:r w:rsidR="00A27667" w:rsidRPr="00A27667">
              <w:rPr>
                <w:color w:val="000000"/>
                <w:sz w:val="18"/>
                <w:szCs w:val="18"/>
                <w:shd w:val="clear" w:color="auto" w:fill="FFFFFF"/>
              </w:rPr>
              <w:t>R</w:t>
            </w:r>
            <w:r w:rsidR="00A27667" w:rsidRPr="0068070A">
              <w:rPr>
                <w:color w:val="000000"/>
                <w:sz w:val="18"/>
                <w:szCs w:val="18"/>
                <w:shd w:val="clear" w:color="auto" w:fill="FFFFFF"/>
                <w:vertAlign w:val="subscript"/>
              </w:rPr>
              <w:t>0</w:t>
            </w:r>
            <w:r w:rsidR="004D2C34">
              <w:rPr>
                <w:color w:val="000000"/>
                <w:sz w:val="18"/>
                <w:szCs w:val="18"/>
                <w:shd w:val="clear" w:color="auto" w:fill="FFFFFF"/>
                <w:vertAlign w:val="subscript"/>
              </w:rPr>
              <w:t xml:space="preserve"> </w:t>
            </w:r>
            <w:r w:rsidR="004D2C34">
              <w:rPr>
                <w:color w:val="000000"/>
                <w:sz w:val="18"/>
                <w:szCs w:val="18"/>
                <w:shd w:val="clear" w:color="auto" w:fill="FFFFFF"/>
              </w:rPr>
              <w:t>is &lt;1</w:t>
            </w:r>
            <w:r w:rsidR="00A27667" w:rsidRPr="0068070A">
              <w:rPr>
                <w:color w:val="000000"/>
                <w:sz w:val="18"/>
                <w:szCs w:val="18"/>
                <w:shd w:val="clear" w:color="auto" w:fill="FFFFFF"/>
                <w:vertAlign w:val="subscript"/>
              </w:rPr>
              <w:t xml:space="preserve"> </w:t>
            </w:r>
            <w:r w:rsidR="004D2C34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r w:rsidR="0068070A">
              <w:rPr>
                <w:color w:val="000000"/>
                <w:sz w:val="18"/>
                <w:szCs w:val="18"/>
                <w:shd w:val="clear" w:color="auto" w:fill="FFFFFF"/>
              </w:rPr>
              <w:t xml:space="preserve">range </w:t>
            </w:r>
            <w:r w:rsidR="00A27667" w:rsidRPr="00A27667">
              <w:rPr>
                <w:color w:val="000000"/>
                <w:sz w:val="18"/>
                <w:szCs w:val="18"/>
                <w:shd w:val="clear" w:color="auto" w:fill="FFFFFF"/>
              </w:rPr>
              <w:t>0.8–1.3</w:t>
            </w:r>
            <w:r w:rsidR="004D2C34"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68070A"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A27667" w:rsidRPr="00A27667">
              <w:rPr>
                <w:color w:val="000000"/>
                <w:sz w:val="18"/>
                <w:szCs w:val="18"/>
                <w:shd w:val="clear" w:color="auto" w:fill="FFFFFF"/>
              </w:rPr>
              <w:t xml:space="preserve"> but estimated to be 2–5 during hospital outbreaks in Saudi Arabia and South Korea.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654148ED" w14:textId="6E3F2EE3" w:rsidR="000E7449" w:rsidRPr="002A0154" w:rsidRDefault="00CE62A2" w:rsidP="002A0154">
            <w:pPr>
              <w:rPr>
                <w:color w:val="000000" w:themeColor="text1"/>
                <w:sz w:val="18"/>
                <w:szCs w:val="18"/>
              </w:rPr>
            </w:pPr>
            <w:r w:rsidRPr="00CE62A2">
              <w:rPr>
                <w:color w:val="000000" w:themeColor="text1"/>
                <w:sz w:val="18"/>
                <w:szCs w:val="18"/>
                <w:shd w:val="clear" w:color="auto" w:fill="FFFFFF"/>
              </w:rPr>
              <w:t>Possible transmission routes include (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 w:rsidRPr="00CE62A2">
              <w:rPr>
                <w:color w:val="000000" w:themeColor="text1"/>
                <w:sz w:val="18"/>
                <w:szCs w:val="18"/>
                <w:shd w:val="clear" w:color="auto" w:fill="FFFFFF"/>
              </w:rPr>
              <w:t>) droplet</w:t>
            </w:r>
            <w:r w:rsidR="002A0154">
              <w:rPr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CE62A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CE62A2">
              <w:rPr>
                <w:color w:val="000000" w:themeColor="text1"/>
                <w:sz w:val="18"/>
                <w:szCs w:val="18"/>
                <w:shd w:val="clear" w:color="auto" w:fill="FFFFFF"/>
              </w:rPr>
              <w:t>) airborne</w:t>
            </w:r>
            <w:r w:rsidR="002A0154">
              <w:rPr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CE62A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r w:rsidR="002A0154">
              <w:rPr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Pr="00CE62A2">
              <w:rPr>
                <w:color w:val="000000" w:themeColor="text1"/>
                <w:sz w:val="18"/>
                <w:szCs w:val="18"/>
                <w:shd w:val="clear" w:color="auto" w:fill="FFFFFF"/>
              </w:rPr>
              <w:t>) direct contact transmission without a contaminated intermediate object or person, and (</w:t>
            </w:r>
            <w:r w:rsidR="002A0154">
              <w:rPr>
                <w:color w:val="000000" w:themeColor="text1"/>
                <w:sz w:val="18"/>
                <w:szCs w:val="18"/>
                <w:shd w:val="clear" w:color="auto" w:fill="FFFFFF"/>
              </w:rPr>
              <w:t>4</w:t>
            </w:r>
            <w:r w:rsidRPr="00CE62A2">
              <w:rPr>
                <w:color w:val="000000" w:themeColor="text1"/>
                <w:sz w:val="18"/>
                <w:szCs w:val="18"/>
                <w:shd w:val="clear" w:color="auto" w:fill="FFFFFF"/>
              </w:rPr>
              <w:t>) indirect contact involving transfer through an intermediate contaminated object or person</w:t>
            </w:r>
            <w:r w:rsidR="002A0154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087794E8" w14:textId="60815B6C" w:rsidR="004F09CD" w:rsidRPr="004F09CD" w:rsidRDefault="004F09CD" w:rsidP="004F09CD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28E8">
              <w:rPr>
                <w:color w:val="000000" w:themeColor="text1"/>
                <w:sz w:val="18"/>
                <w:szCs w:val="18"/>
              </w:rPr>
              <w:t xml:space="preserve">Arabi et al. New Engl J Med </w:t>
            </w:r>
            <w:proofErr w:type="gramStart"/>
            <w:r w:rsidRPr="007F28E8">
              <w:rPr>
                <w:color w:val="000000" w:themeColor="text1"/>
                <w:sz w:val="18"/>
                <w:szCs w:val="18"/>
              </w:rPr>
              <w:t>2017;376:584</w:t>
            </w:r>
            <w:proofErr w:type="gramEnd"/>
            <w:r w:rsidRPr="007F28E8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F28E8">
              <w:rPr>
                <w:color w:val="000000" w:themeColor="text1"/>
                <w:sz w:val="18"/>
                <w:szCs w:val="18"/>
              </w:rPr>
              <w:t>doi</w:t>
            </w:r>
            <w:proofErr w:type="spellEnd"/>
            <w:r w:rsidRPr="007F28E8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7F28E8">
              <w:rPr>
                <w:color w:val="000000" w:themeColor="text1"/>
                <w:sz w:val="18"/>
                <w:szCs w:val="18"/>
                <w:shd w:val="clear" w:color="auto" w:fill="FFFFFF"/>
              </w:rPr>
              <w:t>10.1056/NEJMsr1408795</w:t>
            </w:r>
          </w:p>
          <w:p w14:paraId="6CB61F5F" w14:textId="22113053" w:rsidR="000E7449" w:rsidRDefault="00A27667" w:rsidP="00A277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Cauchemez</w:t>
            </w:r>
            <w:proofErr w:type="spellEnd"/>
            <w:r>
              <w:rPr>
                <w:sz w:val="18"/>
                <w:szCs w:val="18"/>
              </w:rPr>
              <w:t xml:space="preserve"> et al. Lancet Infect Dis </w:t>
            </w:r>
            <w:proofErr w:type="gramStart"/>
            <w:r>
              <w:rPr>
                <w:sz w:val="18"/>
                <w:szCs w:val="18"/>
              </w:rPr>
              <w:t>2014;14:50</w:t>
            </w:r>
            <w:proofErr w:type="gramEnd"/>
            <w:r>
              <w:rPr>
                <w:sz w:val="18"/>
                <w:szCs w:val="18"/>
              </w:rPr>
              <w:t>, doi:10.1016/S1473-3099(13)70304-9</w:t>
            </w:r>
          </w:p>
          <w:p w14:paraId="195AFBEA" w14:textId="21B0B85F" w:rsidR="00A27667" w:rsidRPr="002543B8" w:rsidRDefault="00A27667" w:rsidP="00A2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Choi et al. J Hosp Infect </w:t>
            </w:r>
            <w:proofErr w:type="gramStart"/>
            <w:r>
              <w:rPr>
                <w:sz w:val="18"/>
                <w:szCs w:val="18"/>
              </w:rPr>
              <w:t>2018;99:162</w:t>
            </w:r>
            <w:proofErr w:type="gramEnd"/>
            <w:r>
              <w:rPr>
                <w:sz w:val="18"/>
                <w:szCs w:val="18"/>
              </w:rPr>
              <w:t>, doi:10.1016/j.jhin.2017.09.017</w:t>
            </w:r>
          </w:p>
        </w:tc>
      </w:tr>
      <w:tr w:rsidR="000E7449" w:rsidRPr="000A56DA" w14:paraId="119283EC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6E606A69" w14:textId="77777777" w:rsidR="000E7449" w:rsidRPr="000A56DA" w:rsidRDefault="000E7449" w:rsidP="00A277F5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 xml:space="preserve">5.4 </w:t>
            </w:r>
            <w:r w:rsidRPr="000A56DA">
              <w:rPr>
                <w:sz w:val="20"/>
                <w:szCs w:val="20"/>
              </w:rPr>
              <w:t>What sections of the population are most affected by the target pathogen (e.g. pediatric, pregnant, lactating women (breast feeding), adult, elderly)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03DF3163" w14:textId="6B90F5EC" w:rsidR="000E7449" w:rsidRPr="00371BEB" w:rsidRDefault="00FE0432" w:rsidP="00371BE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71BEB">
              <w:rPr>
                <w:color w:val="000000" w:themeColor="text1"/>
                <w:sz w:val="18"/>
                <w:szCs w:val="18"/>
                <w:shd w:val="clear" w:color="auto" w:fill="FFFFFF"/>
              </w:rPr>
              <w:t>Direct exposure to dromedary camels during the 2 weeks before onset of illness, diabetes mellitus, heart disease, and smoking are risk factors for primary MERS illness. O</w:t>
            </w:r>
            <w:r w:rsidR="00217AEB" w:rsidRPr="00371BEB">
              <w:rPr>
                <w:color w:val="000000" w:themeColor="text1"/>
                <w:sz w:val="18"/>
                <w:szCs w:val="18"/>
              </w:rPr>
              <w:t>lder adults with certain medical conditions or with multi</w:t>
            </w:r>
            <w:r w:rsidR="00C459FE">
              <w:rPr>
                <w:color w:val="000000" w:themeColor="text1"/>
                <w:sz w:val="18"/>
                <w:szCs w:val="18"/>
              </w:rPr>
              <w:t>-</w:t>
            </w:r>
            <w:r w:rsidR="00217AEB" w:rsidRPr="00371BEB">
              <w:rPr>
                <w:color w:val="000000" w:themeColor="text1"/>
                <w:sz w:val="18"/>
                <w:szCs w:val="18"/>
              </w:rPr>
              <w:t xml:space="preserve">morbidities (see 5.2) are at increased risk for severe illness from MERS. 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24766487" w14:textId="77777777" w:rsidR="000E7449" w:rsidRPr="002543B8" w:rsidRDefault="000E7449" w:rsidP="00B64EC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1364F0BB" w14:textId="77777777" w:rsidR="00DB322A" w:rsidRDefault="00DB322A" w:rsidP="00DB322A">
            <w:pPr>
              <w:rPr>
                <w:color w:val="212121"/>
                <w:sz w:val="18"/>
                <w:szCs w:val="18"/>
              </w:rPr>
            </w:pPr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Park et al. BMC Public Health </w:t>
            </w:r>
            <w:proofErr w:type="gramStart"/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>2018;18:574</w:t>
            </w:r>
            <w:proofErr w:type="gramEnd"/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>, doi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:10.1186/s12889-018-5484-8</w:t>
            </w:r>
          </w:p>
          <w:p w14:paraId="7E796131" w14:textId="2273EA3C" w:rsidR="00EB73A8" w:rsidRPr="00DB322A" w:rsidRDefault="00EB73A8" w:rsidP="00DB322A">
            <w:pPr>
              <w:rPr>
                <w:color w:val="212121"/>
                <w:sz w:val="18"/>
                <w:szCs w:val="18"/>
              </w:rPr>
            </w:pPr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Rasmussen et al. Microbiol </w:t>
            </w:r>
            <w:proofErr w:type="spellStart"/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>Spectr</w:t>
            </w:r>
            <w:proofErr w:type="spellEnd"/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2016</w:t>
            </w:r>
            <w:r w:rsidR="00DB322A"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>;</w:t>
            </w:r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>doi</w:t>
            </w:r>
            <w:proofErr w:type="spellEnd"/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>: 10.1128/</w:t>
            </w:r>
            <w:proofErr w:type="gramStart"/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>microbiolspec.EI</w:t>
            </w:r>
            <w:proofErr w:type="gramEnd"/>
            <w:r w:rsidRPr="00DB322A">
              <w:rPr>
                <w:color w:val="000000" w:themeColor="text1"/>
                <w:sz w:val="18"/>
                <w:szCs w:val="18"/>
                <w:shd w:val="clear" w:color="auto" w:fill="FFFFFF"/>
              </w:rPr>
              <w:t>10-0020-2016</w:t>
            </w:r>
          </w:p>
        </w:tc>
      </w:tr>
      <w:tr w:rsidR="000E7449" w:rsidRPr="000A56DA" w14:paraId="5AB7E3A1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3CDBB699" w14:textId="77777777" w:rsidR="000E7449" w:rsidRPr="000A56DA" w:rsidRDefault="000E7449" w:rsidP="00A277F5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5.5</w:t>
            </w:r>
            <w:r w:rsidRPr="000A56DA">
              <w:rPr>
                <w:sz w:val="20"/>
                <w:szCs w:val="20"/>
              </w:rPr>
              <w:t xml:space="preserve"> What is known about the correlates of protective immunity to the target pathogen or to the disease?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53F8D875" w14:textId="02102131" w:rsidR="000E7449" w:rsidRPr="00CC77FC" w:rsidRDefault="003E080E" w:rsidP="0058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5C3EB4">
              <w:rPr>
                <w:sz w:val="18"/>
                <w:szCs w:val="18"/>
              </w:rPr>
              <w:t>orrelates of protection</w:t>
            </w:r>
            <w:r>
              <w:rPr>
                <w:sz w:val="18"/>
                <w:szCs w:val="18"/>
              </w:rPr>
              <w:t xml:space="preserve"> to MERS-</w:t>
            </w:r>
            <w:proofErr w:type="spellStart"/>
            <w:r>
              <w:rPr>
                <w:sz w:val="18"/>
                <w:szCs w:val="18"/>
              </w:rPr>
              <w:t>CoV</w:t>
            </w:r>
            <w:proofErr w:type="spellEnd"/>
            <w:r>
              <w:rPr>
                <w:sz w:val="18"/>
                <w:szCs w:val="18"/>
              </w:rPr>
              <w:t xml:space="preserve"> and their durability </w:t>
            </w:r>
            <w:r w:rsidRPr="005C3EB4">
              <w:rPr>
                <w:sz w:val="18"/>
                <w:szCs w:val="18"/>
              </w:rPr>
              <w:t>have not been established in humans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0C94E848" w14:textId="4E04BA8D" w:rsidR="000E7449" w:rsidRPr="002543B8" w:rsidRDefault="00CC77FC" w:rsidP="00A277F5">
            <w:pPr>
              <w:rPr>
                <w:sz w:val="18"/>
                <w:szCs w:val="18"/>
              </w:rPr>
            </w:pPr>
            <w:r w:rsidRPr="00533FB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Patients produce serum IgG and secretory IgA </w:t>
            </w:r>
            <w:r w:rsidR="009A35FA">
              <w:rPr>
                <w:color w:val="000000" w:themeColor="text1"/>
                <w:sz w:val="18"/>
                <w:szCs w:val="18"/>
                <w:shd w:val="clear" w:color="auto" w:fill="FFFFFF"/>
              </w:rPr>
              <w:t>to MERS-</w:t>
            </w:r>
            <w:proofErr w:type="spellStart"/>
            <w:r w:rsidR="009A35FA">
              <w:rPr>
                <w:color w:val="000000" w:themeColor="text1"/>
                <w:sz w:val="18"/>
                <w:szCs w:val="18"/>
                <w:shd w:val="clear" w:color="auto" w:fill="FFFFFF"/>
              </w:rPr>
              <w:t>CoV</w:t>
            </w:r>
            <w:proofErr w:type="spellEnd"/>
            <w:r w:rsidR="009A35F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33FB2">
              <w:rPr>
                <w:color w:val="000000" w:themeColor="text1"/>
                <w:sz w:val="18"/>
                <w:szCs w:val="18"/>
                <w:shd w:val="clear" w:color="auto" w:fill="FFFFFF"/>
              </w:rPr>
              <w:t>at a median of 16 days (IQR 13–19) after onset of illness. 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533FB2">
              <w:rPr>
                <w:color w:val="000000" w:themeColor="text1"/>
                <w:sz w:val="18"/>
                <w:szCs w:val="18"/>
                <w:shd w:val="clear" w:color="auto" w:fill="FFFFFF"/>
              </w:rPr>
              <w:t>he presence of such antibodies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, however,</w:t>
            </w:r>
            <w:r w:rsidRPr="00533FB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has not necessarily been followed by the elimination of </w:t>
            </w:r>
            <w:r w:rsidR="00AF4A5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viral </w:t>
            </w:r>
            <w:r w:rsidR="009A35F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RNA </w:t>
            </w:r>
            <w:r w:rsidRPr="00533FB2">
              <w:rPr>
                <w:color w:val="000000" w:themeColor="text1"/>
                <w:sz w:val="18"/>
                <w:szCs w:val="18"/>
                <w:shd w:val="clear" w:color="auto" w:fill="FFFFFF"/>
              </w:rPr>
              <w:t>from the lower respiratory tract.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33FB2">
              <w:rPr>
                <w:sz w:val="18"/>
                <w:szCs w:val="18"/>
              </w:rPr>
              <w:t>Longer-term studies</w:t>
            </w:r>
            <w:r w:rsidR="00B4397F">
              <w:rPr>
                <w:sz w:val="18"/>
                <w:szCs w:val="18"/>
              </w:rPr>
              <w:t xml:space="preserve"> </w:t>
            </w:r>
            <w:r w:rsidRPr="00533FB2">
              <w:rPr>
                <w:sz w:val="18"/>
                <w:szCs w:val="18"/>
              </w:rPr>
              <w:t>reported the presence of IgG and neutralizing antibodies up to 60 weeks after symptom onset.</w:t>
            </w: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479FDB96" w14:textId="0A51D452" w:rsidR="000E7449" w:rsidRPr="002543B8" w:rsidRDefault="003E080E" w:rsidP="00A2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Huang et al. Nat </w:t>
            </w:r>
            <w:proofErr w:type="spellStart"/>
            <w:r>
              <w:rPr>
                <w:sz w:val="18"/>
                <w:szCs w:val="18"/>
              </w:rPr>
              <w:t>Commun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2020;</w:t>
            </w:r>
            <w:r w:rsidR="00104B77">
              <w:rPr>
                <w:sz w:val="18"/>
                <w:szCs w:val="18"/>
              </w:rPr>
              <w:t>11:4704</w:t>
            </w:r>
            <w:proofErr w:type="gramEnd"/>
            <w:r w:rsidR="00104B77">
              <w:rPr>
                <w:sz w:val="18"/>
                <w:szCs w:val="18"/>
              </w:rPr>
              <w:t>, doi:10.1038/s41467-020-18450-4</w:t>
            </w:r>
          </w:p>
        </w:tc>
      </w:tr>
      <w:tr w:rsidR="000E7449" w:rsidRPr="000A56DA" w14:paraId="1EEAE253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5BA48508" w14:textId="77777777" w:rsidR="000E7449" w:rsidRPr="000A56DA" w:rsidRDefault="000E7449" w:rsidP="00A277F5">
            <w:pPr>
              <w:tabs>
                <w:tab w:val="left" w:pos="447"/>
              </w:tabs>
              <w:rPr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 xml:space="preserve">5.6 </w:t>
            </w:r>
            <w:r w:rsidRPr="000A56DA">
              <w:rPr>
                <w:sz w:val="20"/>
                <w:szCs w:val="20"/>
              </w:rPr>
              <w:t>Please describe any other key information about the target pathogen or population that may inform benefit risk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5190732D" w14:textId="67B4A086" w:rsidR="000E7449" w:rsidRPr="00B64EC0" w:rsidRDefault="00B64EC0" w:rsidP="00B64EC0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71BE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All reported MERS cases have been linked to countries in and near the Arabian Peninsula.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Most infected people either live in the Arabian Peninsula</w:t>
            </w:r>
            <w:r w:rsidR="00567D39">
              <w:rPr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4143DC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have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recently traveled </w:t>
            </w:r>
            <w:r w:rsidR="0009575F">
              <w:rPr>
                <w:color w:val="000000" w:themeColor="text1"/>
                <w:sz w:val="18"/>
                <w:szCs w:val="18"/>
                <w:shd w:val="clear" w:color="auto" w:fill="FFFFFF"/>
              </w:rPr>
              <w:t>to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the Arabian Peninsula</w:t>
            </w:r>
            <w:r w:rsidR="00567D39">
              <w:rPr>
                <w:color w:val="000000" w:themeColor="text1"/>
                <w:sz w:val="18"/>
                <w:szCs w:val="18"/>
                <w:shd w:val="clear" w:color="auto" w:fill="FFFFFF"/>
              </w:rPr>
              <w:t>, or have had contact with someone returning from the Arabian Peninsula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before they became ill.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2D9F5513" w14:textId="77777777" w:rsidR="000E7449" w:rsidRPr="002543B8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548F7791" w14:textId="539EBF7B" w:rsidR="000E7449" w:rsidRPr="00B64EC0" w:rsidRDefault="00B64EC0" w:rsidP="00B64EC0">
            <w:pPr>
              <w:pStyle w:val="NormalWeb"/>
              <w:shd w:val="clear" w:color="auto" w:fill="FFFFFF"/>
              <w:spacing w:before="0" w:beforeAutospacing="0"/>
              <w:rPr>
                <w:color w:val="000000"/>
                <w:sz w:val="18"/>
                <w:szCs w:val="18"/>
              </w:rPr>
            </w:pPr>
            <w:r w:rsidRPr="00B64EC0">
              <w:rPr>
                <w:sz w:val="18"/>
                <w:szCs w:val="18"/>
              </w:rPr>
              <w:t xml:space="preserve">Schneider et al. Emerg Infect Dis </w:t>
            </w:r>
            <w:proofErr w:type="gramStart"/>
            <w:r w:rsidRPr="00B64EC0">
              <w:rPr>
                <w:sz w:val="18"/>
                <w:szCs w:val="18"/>
              </w:rPr>
              <w:t>2015;21:1220</w:t>
            </w:r>
            <w:proofErr w:type="gramEnd"/>
            <w:r w:rsidRPr="00B64EC0">
              <w:rPr>
                <w:sz w:val="18"/>
                <w:szCs w:val="18"/>
              </w:rPr>
              <w:t>, doi:</w:t>
            </w:r>
            <w:r w:rsidRPr="00B64EC0">
              <w:rPr>
                <w:color w:val="000000"/>
                <w:sz w:val="18"/>
                <w:szCs w:val="18"/>
              </w:rPr>
              <w:t>10.3201/eid2107.141888</w:t>
            </w:r>
          </w:p>
        </w:tc>
      </w:tr>
      <w:tr w:rsidR="000E7449" w:rsidRPr="000A56DA" w14:paraId="58810C12" w14:textId="77777777" w:rsidTr="00A277F5">
        <w:tc>
          <w:tcPr>
            <w:tcW w:w="33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FF99"/>
          </w:tcPr>
          <w:p w14:paraId="33F94C2A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8910" w:type="dxa"/>
            <w:gridSpan w:val="3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99"/>
            <w:vAlign w:val="center"/>
          </w:tcPr>
          <w:p w14:paraId="7DEBC211" w14:textId="77777777" w:rsidR="000E7449" w:rsidRPr="000A56DA" w:rsidRDefault="000E7449" w:rsidP="00A277F5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Information</w:t>
            </w:r>
          </w:p>
        </w:tc>
      </w:tr>
      <w:tr w:rsidR="000E7449" w:rsidRPr="000A56DA" w14:paraId="148F5CCC" w14:textId="77777777" w:rsidTr="00A277F5">
        <w:tc>
          <w:tcPr>
            <w:tcW w:w="3300" w:type="dxa"/>
            <w:tcBorders>
              <w:top w:val="single" w:sz="24" w:space="0" w:color="000000"/>
              <w:left w:val="single" w:sz="24" w:space="0" w:color="000000"/>
            </w:tcBorders>
          </w:tcPr>
          <w:p w14:paraId="69B8FF27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910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14:paraId="79217B98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  <w:tr w:rsidR="000E7449" w:rsidRPr="000A56DA" w14:paraId="02D63042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5AE7CB36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096BACF0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  <w:tr w:rsidR="000E7449" w:rsidRPr="000A56DA" w14:paraId="2ED6FDE1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6E0608E0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788F5C5B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  <w:tr w:rsidR="000E7449" w:rsidRPr="000A56DA" w14:paraId="6DA39AC1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08D66D18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2523E8B8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  <w:tr w:rsidR="000E7449" w:rsidRPr="000A56DA" w14:paraId="0AA114DD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3874DBFE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76287F1B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  <w:tr w:rsidR="000E7449" w:rsidRPr="000A56DA" w14:paraId="3909FBAD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60AA250B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7A5C1120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  <w:tr w:rsidR="000E7449" w:rsidRPr="000A56DA" w14:paraId="301B0956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4F08E9D9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2400070B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  <w:tr w:rsidR="000E7449" w:rsidRPr="000A56DA" w14:paraId="1B975DBA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18420801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3839C716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  <w:tr w:rsidR="000E7449" w:rsidRPr="000A56DA" w14:paraId="62D3F40E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18F36E08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4DD0EAFE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  <w:tr w:rsidR="000E7449" w:rsidRPr="000A56DA" w14:paraId="2A47B5BD" w14:textId="77777777" w:rsidTr="00A277F5">
        <w:tc>
          <w:tcPr>
            <w:tcW w:w="3300" w:type="dxa"/>
            <w:tcBorders>
              <w:left w:val="single" w:sz="24" w:space="0" w:color="000000"/>
              <w:bottom w:val="single" w:sz="24" w:space="0" w:color="000000"/>
            </w:tcBorders>
          </w:tcPr>
          <w:p w14:paraId="7846987F" w14:textId="77777777" w:rsidR="000E7449" w:rsidRPr="000A56DA" w:rsidRDefault="000E7449" w:rsidP="00A277F5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910" w:type="dxa"/>
            <w:gridSpan w:val="3"/>
            <w:tcBorders>
              <w:bottom w:val="single" w:sz="24" w:space="0" w:color="000000"/>
              <w:right w:val="single" w:sz="24" w:space="0" w:color="000000"/>
            </w:tcBorders>
          </w:tcPr>
          <w:p w14:paraId="4755310E" w14:textId="77777777" w:rsidR="000E7449" w:rsidRPr="000A56DA" w:rsidRDefault="000E7449" w:rsidP="00A277F5">
            <w:pPr>
              <w:rPr>
                <w:sz w:val="20"/>
                <w:szCs w:val="20"/>
              </w:rPr>
            </w:pPr>
          </w:p>
        </w:tc>
      </w:tr>
    </w:tbl>
    <w:p w14:paraId="336FBA0E" w14:textId="77777777" w:rsidR="001A146E" w:rsidRPr="000A56DA" w:rsidRDefault="001A146E">
      <w:pPr>
        <w:rPr>
          <w:sz w:val="20"/>
          <w:szCs w:val="20"/>
        </w:rPr>
      </w:pPr>
    </w:p>
    <w:sectPr w:rsidR="001A146E" w:rsidRPr="000A56DA" w:rsidSect="000A56DA">
      <w:pgSz w:w="12240" w:h="15840" w:orient="landscape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  <w:sig w:usb0="E00002FF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﷽﷽﷽﷽﷽﷽﷽﷽àŦ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TC Regular">
    <w:altName w:val="﷽﷽﷽﷽﷽﷽﷽﷽s CJK TC Regular"/>
    <w:panose1 w:val="00000000000000000000"/>
    <w:charset w:val="80"/>
    <w:family w:val="swiss"/>
    <w:notTrueType/>
    <w:pitch w:val="variable"/>
    <w:sig w:usb0="30000003" w:usb1="2BDF3C10" w:usb2="00000016" w:usb3="00000000" w:csb0="003A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57E"/>
    <w:multiLevelType w:val="multilevel"/>
    <w:tmpl w:val="C3F2D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7C65F5"/>
    <w:multiLevelType w:val="multilevel"/>
    <w:tmpl w:val="48C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76FAE"/>
    <w:multiLevelType w:val="multilevel"/>
    <w:tmpl w:val="51A0F2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078"/>
    <w:multiLevelType w:val="multilevel"/>
    <w:tmpl w:val="A202C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490BAF"/>
    <w:multiLevelType w:val="hybridMultilevel"/>
    <w:tmpl w:val="81762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D200B"/>
    <w:multiLevelType w:val="multilevel"/>
    <w:tmpl w:val="21D8D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663E40"/>
    <w:multiLevelType w:val="multilevel"/>
    <w:tmpl w:val="BE5A1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41563C"/>
    <w:multiLevelType w:val="multilevel"/>
    <w:tmpl w:val="267CE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370794"/>
    <w:multiLevelType w:val="multilevel"/>
    <w:tmpl w:val="C3D20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6E"/>
    <w:rsid w:val="00005400"/>
    <w:rsid w:val="000069C5"/>
    <w:rsid w:val="00007E9C"/>
    <w:rsid w:val="00032934"/>
    <w:rsid w:val="000604F7"/>
    <w:rsid w:val="00061522"/>
    <w:rsid w:val="00061663"/>
    <w:rsid w:val="00061F97"/>
    <w:rsid w:val="0009575F"/>
    <w:rsid w:val="000A1C2D"/>
    <w:rsid w:val="000A5100"/>
    <w:rsid w:val="000A56DA"/>
    <w:rsid w:val="000B2AEB"/>
    <w:rsid w:val="000C6268"/>
    <w:rsid w:val="000C6B18"/>
    <w:rsid w:val="000E08A1"/>
    <w:rsid w:val="000E7449"/>
    <w:rsid w:val="00104B77"/>
    <w:rsid w:val="00105E9C"/>
    <w:rsid w:val="00115021"/>
    <w:rsid w:val="00124708"/>
    <w:rsid w:val="001331B9"/>
    <w:rsid w:val="001355AE"/>
    <w:rsid w:val="00141480"/>
    <w:rsid w:val="00153B88"/>
    <w:rsid w:val="00166557"/>
    <w:rsid w:val="00171243"/>
    <w:rsid w:val="00175713"/>
    <w:rsid w:val="00184A32"/>
    <w:rsid w:val="0019206B"/>
    <w:rsid w:val="0019568D"/>
    <w:rsid w:val="001A146E"/>
    <w:rsid w:val="001B1B2B"/>
    <w:rsid w:val="001B44CC"/>
    <w:rsid w:val="001D25AB"/>
    <w:rsid w:val="001D7015"/>
    <w:rsid w:val="001E6628"/>
    <w:rsid w:val="001E7F65"/>
    <w:rsid w:val="002006BF"/>
    <w:rsid w:val="00207245"/>
    <w:rsid w:val="00210190"/>
    <w:rsid w:val="00210790"/>
    <w:rsid w:val="00216814"/>
    <w:rsid w:val="00217AEB"/>
    <w:rsid w:val="0024280C"/>
    <w:rsid w:val="002465EC"/>
    <w:rsid w:val="00252EA6"/>
    <w:rsid w:val="002543B8"/>
    <w:rsid w:val="00266EC7"/>
    <w:rsid w:val="00270886"/>
    <w:rsid w:val="002838A9"/>
    <w:rsid w:val="002A0154"/>
    <w:rsid w:val="002A2EBC"/>
    <w:rsid w:val="002A63C0"/>
    <w:rsid w:val="002B670A"/>
    <w:rsid w:val="002E2D80"/>
    <w:rsid w:val="00314701"/>
    <w:rsid w:val="003163DA"/>
    <w:rsid w:val="00321102"/>
    <w:rsid w:val="0032517B"/>
    <w:rsid w:val="003621BD"/>
    <w:rsid w:val="003643E1"/>
    <w:rsid w:val="00371BEB"/>
    <w:rsid w:val="00374664"/>
    <w:rsid w:val="00393A67"/>
    <w:rsid w:val="00393BF6"/>
    <w:rsid w:val="003C03F0"/>
    <w:rsid w:val="003C2C4B"/>
    <w:rsid w:val="003D32B9"/>
    <w:rsid w:val="003E080E"/>
    <w:rsid w:val="003E3FC0"/>
    <w:rsid w:val="003E5910"/>
    <w:rsid w:val="003F340B"/>
    <w:rsid w:val="003F5C54"/>
    <w:rsid w:val="003F5FA8"/>
    <w:rsid w:val="003F77DF"/>
    <w:rsid w:val="00406D7E"/>
    <w:rsid w:val="004143DC"/>
    <w:rsid w:val="00417691"/>
    <w:rsid w:val="0042202C"/>
    <w:rsid w:val="0042626C"/>
    <w:rsid w:val="00426CD6"/>
    <w:rsid w:val="00426F53"/>
    <w:rsid w:val="0042711B"/>
    <w:rsid w:val="004334C3"/>
    <w:rsid w:val="00442CB2"/>
    <w:rsid w:val="00454FEB"/>
    <w:rsid w:val="00460DD5"/>
    <w:rsid w:val="00462BF2"/>
    <w:rsid w:val="00464B5E"/>
    <w:rsid w:val="004651AA"/>
    <w:rsid w:val="0048118C"/>
    <w:rsid w:val="004908CF"/>
    <w:rsid w:val="0049297A"/>
    <w:rsid w:val="00494EB3"/>
    <w:rsid w:val="00496BD2"/>
    <w:rsid w:val="004A002C"/>
    <w:rsid w:val="004A2CE5"/>
    <w:rsid w:val="004B6AA2"/>
    <w:rsid w:val="004D2C34"/>
    <w:rsid w:val="004D2F56"/>
    <w:rsid w:val="004F09CD"/>
    <w:rsid w:val="00502CD9"/>
    <w:rsid w:val="005207E2"/>
    <w:rsid w:val="00533FB2"/>
    <w:rsid w:val="00556019"/>
    <w:rsid w:val="005566BB"/>
    <w:rsid w:val="00567D39"/>
    <w:rsid w:val="0057168F"/>
    <w:rsid w:val="00573210"/>
    <w:rsid w:val="005849D8"/>
    <w:rsid w:val="00596CA3"/>
    <w:rsid w:val="005B0871"/>
    <w:rsid w:val="005E1E3F"/>
    <w:rsid w:val="005F1EFF"/>
    <w:rsid w:val="0062390C"/>
    <w:rsid w:val="00634F55"/>
    <w:rsid w:val="00664CC7"/>
    <w:rsid w:val="00671F5E"/>
    <w:rsid w:val="0068070A"/>
    <w:rsid w:val="006822D4"/>
    <w:rsid w:val="00692C5B"/>
    <w:rsid w:val="006A2EA6"/>
    <w:rsid w:val="006A3D11"/>
    <w:rsid w:val="006B12C0"/>
    <w:rsid w:val="006B292F"/>
    <w:rsid w:val="006B797F"/>
    <w:rsid w:val="006C34D1"/>
    <w:rsid w:val="007040E4"/>
    <w:rsid w:val="00707FEE"/>
    <w:rsid w:val="00725D02"/>
    <w:rsid w:val="00740BBA"/>
    <w:rsid w:val="00743DB3"/>
    <w:rsid w:val="00765A4C"/>
    <w:rsid w:val="007760FA"/>
    <w:rsid w:val="00783207"/>
    <w:rsid w:val="007A1B2C"/>
    <w:rsid w:val="007A4CC9"/>
    <w:rsid w:val="007A66C5"/>
    <w:rsid w:val="007C14EB"/>
    <w:rsid w:val="007D1056"/>
    <w:rsid w:val="007D1A55"/>
    <w:rsid w:val="007D67E7"/>
    <w:rsid w:val="007F28E8"/>
    <w:rsid w:val="007F5FD5"/>
    <w:rsid w:val="008674BD"/>
    <w:rsid w:val="008704D2"/>
    <w:rsid w:val="008828F5"/>
    <w:rsid w:val="008A2E09"/>
    <w:rsid w:val="008B0482"/>
    <w:rsid w:val="008C06C5"/>
    <w:rsid w:val="008C1D67"/>
    <w:rsid w:val="008D0D18"/>
    <w:rsid w:val="008D0E90"/>
    <w:rsid w:val="00902214"/>
    <w:rsid w:val="00902BD0"/>
    <w:rsid w:val="0090504A"/>
    <w:rsid w:val="00913559"/>
    <w:rsid w:val="0093237E"/>
    <w:rsid w:val="0093549A"/>
    <w:rsid w:val="00937040"/>
    <w:rsid w:val="009613E3"/>
    <w:rsid w:val="00966422"/>
    <w:rsid w:val="009962F3"/>
    <w:rsid w:val="009A35FA"/>
    <w:rsid w:val="009A40D5"/>
    <w:rsid w:val="009B78E0"/>
    <w:rsid w:val="009C6A6C"/>
    <w:rsid w:val="009D1AFD"/>
    <w:rsid w:val="009D6667"/>
    <w:rsid w:val="00A035DA"/>
    <w:rsid w:val="00A051FD"/>
    <w:rsid w:val="00A12B14"/>
    <w:rsid w:val="00A17695"/>
    <w:rsid w:val="00A27667"/>
    <w:rsid w:val="00A303ED"/>
    <w:rsid w:val="00A423FA"/>
    <w:rsid w:val="00A475E6"/>
    <w:rsid w:val="00A77C51"/>
    <w:rsid w:val="00A81A3C"/>
    <w:rsid w:val="00AA07AC"/>
    <w:rsid w:val="00AA678C"/>
    <w:rsid w:val="00AB584D"/>
    <w:rsid w:val="00AB58E3"/>
    <w:rsid w:val="00AC2A6C"/>
    <w:rsid w:val="00AC62BA"/>
    <w:rsid w:val="00AF46E1"/>
    <w:rsid w:val="00AF4A5A"/>
    <w:rsid w:val="00AF524F"/>
    <w:rsid w:val="00B34EC7"/>
    <w:rsid w:val="00B4397F"/>
    <w:rsid w:val="00B50FAB"/>
    <w:rsid w:val="00B63643"/>
    <w:rsid w:val="00B64293"/>
    <w:rsid w:val="00B64EC0"/>
    <w:rsid w:val="00B6663D"/>
    <w:rsid w:val="00B74A82"/>
    <w:rsid w:val="00B92059"/>
    <w:rsid w:val="00BA24B8"/>
    <w:rsid w:val="00BB363B"/>
    <w:rsid w:val="00BB7B52"/>
    <w:rsid w:val="00BE19E4"/>
    <w:rsid w:val="00C04FE7"/>
    <w:rsid w:val="00C17764"/>
    <w:rsid w:val="00C459FE"/>
    <w:rsid w:val="00C45D7F"/>
    <w:rsid w:val="00C55418"/>
    <w:rsid w:val="00C57C13"/>
    <w:rsid w:val="00C71DEC"/>
    <w:rsid w:val="00C82A8B"/>
    <w:rsid w:val="00C916FD"/>
    <w:rsid w:val="00CA04BE"/>
    <w:rsid w:val="00CA4918"/>
    <w:rsid w:val="00CC073B"/>
    <w:rsid w:val="00CC0E5F"/>
    <w:rsid w:val="00CC77FC"/>
    <w:rsid w:val="00CD7397"/>
    <w:rsid w:val="00CE62A2"/>
    <w:rsid w:val="00CF1339"/>
    <w:rsid w:val="00CF2C92"/>
    <w:rsid w:val="00D04611"/>
    <w:rsid w:val="00D1302E"/>
    <w:rsid w:val="00D346D3"/>
    <w:rsid w:val="00D37D9E"/>
    <w:rsid w:val="00D45FF4"/>
    <w:rsid w:val="00D5049A"/>
    <w:rsid w:val="00D71897"/>
    <w:rsid w:val="00D74160"/>
    <w:rsid w:val="00DB322A"/>
    <w:rsid w:val="00DE0D23"/>
    <w:rsid w:val="00DE6636"/>
    <w:rsid w:val="00DF265C"/>
    <w:rsid w:val="00E05442"/>
    <w:rsid w:val="00E1250B"/>
    <w:rsid w:val="00E40B9B"/>
    <w:rsid w:val="00E52F09"/>
    <w:rsid w:val="00E61246"/>
    <w:rsid w:val="00E70B7F"/>
    <w:rsid w:val="00E726FC"/>
    <w:rsid w:val="00E73499"/>
    <w:rsid w:val="00E80872"/>
    <w:rsid w:val="00EB73A8"/>
    <w:rsid w:val="00EC5C6C"/>
    <w:rsid w:val="00ED1E3C"/>
    <w:rsid w:val="00ED221D"/>
    <w:rsid w:val="00EE1322"/>
    <w:rsid w:val="00EE4D27"/>
    <w:rsid w:val="00EE766C"/>
    <w:rsid w:val="00EF30FD"/>
    <w:rsid w:val="00F176FD"/>
    <w:rsid w:val="00F30ACC"/>
    <w:rsid w:val="00F52945"/>
    <w:rsid w:val="00F63BFA"/>
    <w:rsid w:val="00F81E9E"/>
    <w:rsid w:val="00F9042B"/>
    <w:rsid w:val="00F95AB5"/>
    <w:rsid w:val="00F95AF8"/>
    <w:rsid w:val="00FB33CA"/>
    <w:rsid w:val="00FC75FF"/>
    <w:rsid w:val="00FD2483"/>
    <w:rsid w:val="00FD79D3"/>
    <w:rsid w:val="00FE0432"/>
    <w:rsid w:val="00FE7F6A"/>
    <w:rsid w:val="00FF09A9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15DF"/>
  <w15:docId w15:val="{4DC865E0-AF1F-4A42-979C-9836F89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DF"/>
    <w:rPr>
      <w:rFonts w:eastAsia="Times New Roman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61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672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A07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321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C03F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63BFA"/>
  </w:style>
  <w:style w:type="character" w:customStyle="1" w:styleId="eop">
    <w:name w:val="eop"/>
    <w:basedOn w:val="DefaultParagraphFont"/>
    <w:rsid w:val="00F63BFA"/>
  </w:style>
  <w:style w:type="character" w:customStyle="1" w:styleId="identifier">
    <w:name w:val="identifier"/>
    <w:basedOn w:val="DefaultParagraphFont"/>
    <w:rsid w:val="00DB322A"/>
  </w:style>
  <w:style w:type="character" w:customStyle="1" w:styleId="id-label">
    <w:name w:val="id-label"/>
    <w:basedOn w:val="DefaultParagraphFont"/>
    <w:rsid w:val="00DB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1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7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138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zYW9R2urXvmFf6rWY3WWm5kew==">AMUW2mWEiojBg+7k0LQFUXfVZOV3KZCpEKvJAzkP47dmQ5yWKztBl1gqHVtMgkctWe+6DJpLh4EVOMqIchedyfrfJ0nQFYcT96/HQi5ay3VWyBbhKAV/Je7qL7dhBxGwivlXMbIdx0epT1hFVNoPgoPDJ1n9xZRhbnjC6c/XJhzkGQgP6RH4hoU=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25C5F14FF4D6478C1FC49F317856DF" ma:contentTypeVersion="11" ma:contentTypeDescription="Crear nuevo documento." ma:contentTypeScope="" ma:versionID="dd78aa72d59335ddd8b43195383707f6">
  <xsd:schema xmlns:xsd="http://www.w3.org/2001/XMLSchema" xmlns:xs="http://www.w3.org/2001/XMLSchema" xmlns:p="http://schemas.microsoft.com/office/2006/metadata/properties" xmlns:ns2="cd3aa6b3-72e6-46d8-814b-d2ef3ba1625b" xmlns:ns3="d2430cc8-b339-4939-b2a0-1336e147faf9" targetNamespace="http://schemas.microsoft.com/office/2006/metadata/properties" ma:root="true" ma:fieldsID="23d350f07bc58077003643bd9c9ae176" ns2:_="" ns3:_="">
    <xsd:import namespace="cd3aa6b3-72e6-46d8-814b-d2ef3ba1625b"/>
    <xsd:import namespace="d2430cc8-b339-4939-b2a0-1336e147f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aa6b3-72e6-46d8-814b-d2ef3ba16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30cc8-b339-4939-b2a0-1336e147f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93F620-33B0-47AC-8E5D-A0DEB81FD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aa6b3-72e6-46d8-814b-d2ef3ba1625b"/>
    <ds:schemaRef ds:uri="d2430cc8-b339-4939-b2a0-1336e147f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20EDC-6683-487F-8077-50B884AF9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B6F5A-9741-4ACD-9D32-03A246459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Chen</dc:creator>
  <cp:lastModifiedBy>Martin, Emalee</cp:lastModifiedBy>
  <cp:revision>2</cp:revision>
  <dcterms:created xsi:type="dcterms:W3CDTF">2021-02-09T20:10:00Z</dcterms:created>
  <dcterms:modified xsi:type="dcterms:W3CDTF">2021-02-09T20:10:00Z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0x010100E125C5F14FF4D6478C1FC49F317856DF</vt:lpwstr>
  </property>
</Properties>
</file>