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0"/>
        <w:tblpPr w:leftFromText="180" w:rightFromText="180" w:horzAnchor="page" w:tblpX="1" w:tblpY="-1440"/>
        <w:tblW w:w="12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0"/>
        <w:gridCol w:w="2790"/>
        <w:gridCol w:w="3330"/>
        <w:gridCol w:w="2790"/>
      </w:tblGrid>
      <w:tr w:rsidR="000E7449" w:rsidRPr="000A56DA" w14:paraId="2630EC29" w14:textId="77777777" w:rsidTr="00A277F5">
        <w:tc>
          <w:tcPr>
            <w:tcW w:w="12210" w:type="dxa"/>
            <w:gridSpan w:val="4"/>
            <w:tcBorders>
              <w:top w:val="single" w:sz="4" w:space="0" w:color="000000"/>
              <w:left w:val="single" w:sz="24" w:space="0" w:color="000000"/>
              <w:bottom w:val="single" w:sz="24" w:space="0" w:color="000000"/>
              <w:right w:val="single" w:sz="24" w:space="0" w:color="000000"/>
            </w:tcBorders>
            <w:shd w:val="clear" w:color="auto" w:fill="00FFFF"/>
            <w:vAlign w:val="center"/>
          </w:tcPr>
          <w:p w14:paraId="45EAA79F" w14:textId="77777777" w:rsidR="000E7449" w:rsidRPr="000A56DA" w:rsidRDefault="000E7449" w:rsidP="00A277F5">
            <w:pPr>
              <w:jc w:val="center"/>
              <w:rPr>
                <w:rFonts w:eastAsia="Arial"/>
                <w:b/>
                <w:sz w:val="20"/>
                <w:szCs w:val="20"/>
              </w:rPr>
            </w:pPr>
            <w:r w:rsidRPr="000A56DA">
              <w:rPr>
                <w:rFonts w:eastAsia="Arial"/>
                <w:b/>
                <w:sz w:val="20"/>
                <w:szCs w:val="20"/>
              </w:rPr>
              <w:t>Brighton Collaboration Viral Vector Vaccines Safety Working Group (V3SWG)</w:t>
            </w:r>
          </w:p>
          <w:p w14:paraId="562D62B7" w14:textId="77777777" w:rsidR="000E7449" w:rsidRPr="000A56DA" w:rsidRDefault="000E7449" w:rsidP="00A277F5">
            <w:pPr>
              <w:jc w:val="center"/>
              <w:rPr>
                <w:b/>
                <w:sz w:val="20"/>
                <w:szCs w:val="20"/>
              </w:rPr>
            </w:pPr>
            <w:r w:rsidRPr="000A56DA">
              <w:rPr>
                <w:rFonts w:eastAsia="Arial"/>
                <w:b/>
                <w:sz w:val="20"/>
                <w:szCs w:val="20"/>
              </w:rPr>
              <w:t>Standardized Template V2.1 for Collection of Key Information for Risk Assessment of Viral Vaccine Vector Candidates</w:t>
            </w:r>
          </w:p>
        </w:tc>
      </w:tr>
      <w:tr w:rsidR="000E7449" w:rsidRPr="000A56DA" w14:paraId="1636E3E1" w14:textId="77777777" w:rsidTr="00A277F5">
        <w:tc>
          <w:tcPr>
            <w:tcW w:w="3300" w:type="dxa"/>
            <w:tcBorders>
              <w:top w:val="single" w:sz="24" w:space="0" w:color="000000"/>
              <w:left w:val="single" w:sz="24" w:space="0" w:color="000000"/>
              <w:bottom w:val="single" w:sz="24" w:space="0" w:color="000000"/>
              <w:right w:val="single" w:sz="4" w:space="0" w:color="000000"/>
            </w:tcBorders>
            <w:shd w:val="clear" w:color="auto" w:fill="FFFF99"/>
          </w:tcPr>
          <w:p w14:paraId="3DE0A707" w14:textId="77777777" w:rsidR="000E7449" w:rsidRPr="000A56DA" w:rsidRDefault="000E7449" w:rsidP="00A277F5">
            <w:pPr>
              <w:tabs>
                <w:tab w:val="left" w:pos="447"/>
              </w:tabs>
              <w:jc w:val="center"/>
              <w:rPr>
                <w:b/>
                <w:sz w:val="20"/>
                <w:szCs w:val="20"/>
              </w:rPr>
            </w:pPr>
            <w:r w:rsidRPr="000A56DA">
              <w:rPr>
                <w:b/>
                <w:sz w:val="20"/>
                <w:szCs w:val="20"/>
              </w:rPr>
              <w:t>5. Target Pathogen and Population</w:t>
            </w:r>
          </w:p>
        </w:tc>
        <w:tc>
          <w:tcPr>
            <w:tcW w:w="2790" w:type="dxa"/>
            <w:tcBorders>
              <w:top w:val="single" w:sz="24" w:space="0" w:color="000000"/>
              <w:left w:val="single" w:sz="4" w:space="0" w:color="000000"/>
              <w:bottom w:val="single" w:sz="24" w:space="0" w:color="000000"/>
              <w:right w:val="single" w:sz="4" w:space="0" w:color="000000"/>
            </w:tcBorders>
            <w:shd w:val="clear" w:color="auto" w:fill="FFFF99"/>
          </w:tcPr>
          <w:p w14:paraId="6E7491FB" w14:textId="77777777" w:rsidR="000E7449" w:rsidRPr="000A56DA" w:rsidRDefault="000E7449" w:rsidP="00A277F5">
            <w:pPr>
              <w:jc w:val="center"/>
              <w:rPr>
                <w:b/>
                <w:sz w:val="20"/>
                <w:szCs w:val="20"/>
              </w:rPr>
            </w:pPr>
            <w:r w:rsidRPr="000A56DA">
              <w:rPr>
                <w:b/>
                <w:sz w:val="20"/>
                <w:szCs w:val="20"/>
              </w:rPr>
              <w:t>Information</w:t>
            </w:r>
          </w:p>
        </w:tc>
        <w:tc>
          <w:tcPr>
            <w:tcW w:w="3330" w:type="dxa"/>
            <w:tcBorders>
              <w:top w:val="single" w:sz="24" w:space="0" w:color="000000"/>
              <w:left w:val="single" w:sz="4" w:space="0" w:color="000000"/>
              <w:bottom w:val="single" w:sz="24" w:space="0" w:color="000000"/>
              <w:right w:val="single" w:sz="4" w:space="0" w:color="000000"/>
            </w:tcBorders>
            <w:shd w:val="clear" w:color="auto" w:fill="FFFF99"/>
          </w:tcPr>
          <w:p w14:paraId="09112D3E" w14:textId="77777777" w:rsidR="000E7449" w:rsidRPr="000A56DA" w:rsidRDefault="000E7449" w:rsidP="00A277F5">
            <w:pPr>
              <w:jc w:val="center"/>
              <w:rPr>
                <w:b/>
                <w:sz w:val="20"/>
                <w:szCs w:val="20"/>
              </w:rPr>
            </w:pPr>
            <w:r w:rsidRPr="000A56DA">
              <w:rPr>
                <w:b/>
                <w:sz w:val="20"/>
                <w:szCs w:val="20"/>
              </w:rPr>
              <w:t>Comments/Concerns</w:t>
            </w:r>
          </w:p>
        </w:tc>
        <w:tc>
          <w:tcPr>
            <w:tcW w:w="2790" w:type="dxa"/>
            <w:tcBorders>
              <w:top w:val="single" w:sz="24" w:space="0" w:color="000000"/>
              <w:left w:val="single" w:sz="4" w:space="0" w:color="000000"/>
              <w:bottom w:val="single" w:sz="24" w:space="0" w:color="000000"/>
              <w:right w:val="single" w:sz="24" w:space="0" w:color="000000"/>
            </w:tcBorders>
            <w:shd w:val="clear" w:color="auto" w:fill="FFFF99"/>
          </w:tcPr>
          <w:p w14:paraId="73015C17" w14:textId="77777777" w:rsidR="000E7449" w:rsidRPr="000A56DA" w:rsidRDefault="000E7449" w:rsidP="00A277F5">
            <w:pPr>
              <w:jc w:val="center"/>
              <w:rPr>
                <w:b/>
                <w:sz w:val="20"/>
                <w:szCs w:val="20"/>
              </w:rPr>
            </w:pPr>
            <w:r w:rsidRPr="000A56DA">
              <w:rPr>
                <w:b/>
                <w:sz w:val="20"/>
                <w:szCs w:val="20"/>
              </w:rPr>
              <w:t>Reference(s)</w:t>
            </w:r>
          </w:p>
        </w:tc>
      </w:tr>
      <w:tr w:rsidR="000E7449" w:rsidRPr="000A56DA" w14:paraId="6F69407C" w14:textId="77777777" w:rsidTr="00A277F5">
        <w:tc>
          <w:tcPr>
            <w:tcW w:w="3300" w:type="dxa"/>
            <w:tcBorders>
              <w:top w:val="single" w:sz="24" w:space="0" w:color="000000"/>
              <w:left w:val="single" w:sz="24" w:space="0" w:color="000000"/>
              <w:bottom w:val="single" w:sz="4" w:space="0" w:color="000000"/>
            </w:tcBorders>
          </w:tcPr>
          <w:p w14:paraId="52D0FC97" w14:textId="77777777" w:rsidR="000E7449" w:rsidRPr="000A56DA" w:rsidRDefault="000E7449" w:rsidP="00A277F5">
            <w:pPr>
              <w:tabs>
                <w:tab w:val="left" w:pos="447"/>
              </w:tabs>
              <w:rPr>
                <w:b/>
                <w:sz w:val="20"/>
                <w:szCs w:val="20"/>
              </w:rPr>
            </w:pPr>
            <w:r w:rsidRPr="000A56DA">
              <w:rPr>
                <w:b/>
                <w:color w:val="000000"/>
                <w:sz w:val="20"/>
                <w:szCs w:val="20"/>
              </w:rPr>
              <w:t xml:space="preserve">5.1 </w:t>
            </w:r>
            <w:r w:rsidRPr="000A56DA">
              <w:rPr>
                <w:color w:val="000000"/>
                <w:sz w:val="20"/>
                <w:szCs w:val="20"/>
              </w:rPr>
              <w:t>What is the target pathogen?</w:t>
            </w:r>
          </w:p>
        </w:tc>
        <w:tc>
          <w:tcPr>
            <w:tcW w:w="2790" w:type="dxa"/>
            <w:tcBorders>
              <w:top w:val="single" w:sz="24" w:space="0" w:color="000000"/>
              <w:bottom w:val="single" w:sz="4" w:space="0" w:color="000000"/>
            </w:tcBorders>
          </w:tcPr>
          <w:p w14:paraId="3676FC21" w14:textId="77777777" w:rsidR="000E7449" w:rsidRPr="000A56DA" w:rsidRDefault="000E7449" w:rsidP="00A277F5">
            <w:pPr>
              <w:rPr>
                <w:sz w:val="20"/>
                <w:szCs w:val="20"/>
              </w:rPr>
            </w:pPr>
            <w:r w:rsidRPr="000A56DA">
              <w:rPr>
                <w:sz w:val="20"/>
                <w:szCs w:val="20"/>
              </w:rPr>
              <w:t>Lassa virus</w:t>
            </w:r>
          </w:p>
        </w:tc>
        <w:tc>
          <w:tcPr>
            <w:tcW w:w="3330" w:type="dxa"/>
            <w:tcBorders>
              <w:top w:val="single" w:sz="24" w:space="0" w:color="000000"/>
              <w:bottom w:val="single" w:sz="4" w:space="0" w:color="000000"/>
            </w:tcBorders>
          </w:tcPr>
          <w:p w14:paraId="0DB35E93" w14:textId="77777777" w:rsidR="000E7449" w:rsidRPr="000A56DA" w:rsidRDefault="000E7449" w:rsidP="00A277F5">
            <w:pPr>
              <w:rPr>
                <w:sz w:val="20"/>
                <w:szCs w:val="20"/>
              </w:rPr>
            </w:pPr>
            <w:r w:rsidRPr="000A56DA">
              <w:rPr>
                <w:sz w:val="20"/>
                <w:szCs w:val="20"/>
              </w:rPr>
              <w:t xml:space="preserve">The enveloped, bisegmented, -ssRNA virus is a member of the family </w:t>
            </w:r>
            <w:r w:rsidRPr="000A56DA">
              <w:rPr>
                <w:i/>
                <w:iCs/>
                <w:sz w:val="20"/>
                <w:szCs w:val="20"/>
              </w:rPr>
              <w:t>Arenaviridae</w:t>
            </w:r>
            <w:r w:rsidRPr="000A56DA">
              <w:rPr>
                <w:sz w:val="20"/>
                <w:szCs w:val="20"/>
              </w:rPr>
              <w:t xml:space="preserve">, genus </w:t>
            </w:r>
            <w:r w:rsidRPr="000A56DA">
              <w:rPr>
                <w:i/>
                <w:iCs/>
                <w:sz w:val="20"/>
                <w:szCs w:val="20"/>
              </w:rPr>
              <w:t>Mammarenavirus</w:t>
            </w:r>
            <w:r w:rsidRPr="000A56DA">
              <w:rPr>
                <w:sz w:val="20"/>
                <w:szCs w:val="20"/>
              </w:rPr>
              <w:t>. The strains are grouped into I-V and a possibly 5</w:t>
            </w:r>
            <w:r w:rsidRPr="000A56DA">
              <w:rPr>
                <w:sz w:val="20"/>
                <w:szCs w:val="20"/>
                <w:vertAlign w:val="superscript"/>
              </w:rPr>
              <w:t>th</w:t>
            </w:r>
            <w:r w:rsidRPr="000A56DA">
              <w:rPr>
                <w:sz w:val="20"/>
                <w:szCs w:val="20"/>
              </w:rPr>
              <w:t xml:space="preserve"> (V-Cote d’Ivoire and Mali) lineages.</w:t>
            </w:r>
          </w:p>
        </w:tc>
        <w:tc>
          <w:tcPr>
            <w:tcW w:w="2790" w:type="dxa"/>
            <w:tcBorders>
              <w:top w:val="single" w:sz="24" w:space="0" w:color="000000"/>
              <w:bottom w:val="single" w:sz="4" w:space="0" w:color="000000"/>
              <w:right w:val="single" w:sz="24" w:space="0" w:color="000000"/>
            </w:tcBorders>
          </w:tcPr>
          <w:p w14:paraId="353FE60D" w14:textId="77777777" w:rsidR="000E7449" w:rsidRPr="000A56DA" w:rsidRDefault="000E7449" w:rsidP="00A277F5">
            <w:pPr>
              <w:rPr>
                <w:sz w:val="20"/>
                <w:szCs w:val="20"/>
              </w:rPr>
            </w:pPr>
            <w:r w:rsidRPr="000A56DA">
              <w:rPr>
                <w:sz w:val="20"/>
                <w:szCs w:val="20"/>
              </w:rPr>
              <w:t xml:space="preserve">Hallam HJ et al. npj Vaccines </w:t>
            </w:r>
            <w:proofErr w:type="gramStart"/>
            <w:r w:rsidRPr="000A56DA">
              <w:rPr>
                <w:sz w:val="20"/>
                <w:szCs w:val="20"/>
              </w:rPr>
              <w:t>2018;3:11</w:t>
            </w:r>
            <w:proofErr w:type="gramEnd"/>
            <w:r w:rsidRPr="000A56DA">
              <w:rPr>
                <w:sz w:val="20"/>
                <w:szCs w:val="20"/>
              </w:rPr>
              <w:t>, doi: 10.1038/s41541-018-0049-5</w:t>
            </w:r>
          </w:p>
        </w:tc>
      </w:tr>
      <w:tr w:rsidR="000E7449" w:rsidRPr="000A56DA" w14:paraId="19DC3949" w14:textId="77777777" w:rsidTr="00A277F5">
        <w:tc>
          <w:tcPr>
            <w:tcW w:w="3300" w:type="dxa"/>
            <w:tcBorders>
              <w:left w:val="single" w:sz="24" w:space="0" w:color="000000"/>
              <w:bottom w:val="single" w:sz="4" w:space="0" w:color="000000"/>
            </w:tcBorders>
          </w:tcPr>
          <w:p w14:paraId="33DBC4FE" w14:textId="77777777" w:rsidR="000E7449" w:rsidRPr="000A56DA" w:rsidRDefault="000E7449" w:rsidP="00A277F5">
            <w:pPr>
              <w:tabs>
                <w:tab w:val="left" w:pos="447"/>
              </w:tabs>
              <w:rPr>
                <w:b/>
                <w:sz w:val="20"/>
                <w:szCs w:val="20"/>
              </w:rPr>
            </w:pPr>
            <w:r w:rsidRPr="000A56DA">
              <w:rPr>
                <w:b/>
                <w:color w:val="000000"/>
                <w:sz w:val="20"/>
                <w:szCs w:val="20"/>
              </w:rPr>
              <w:t xml:space="preserve">5.2 </w:t>
            </w:r>
            <w:r w:rsidRPr="000A56DA">
              <w:rPr>
                <w:sz w:val="20"/>
                <w:szCs w:val="20"/>
              </w:rPr>
              <w:t>What are the disease manifestations caused by the target pathogen in humans, for the following categories:</w:t>
            </w:r>
          </w:p>
        </w:tc>
        <w:tc>
          <w:tcPr>
            <w:tcW w:w="2790" w:type="dxa"/>
            <w:tcBorders>
              <w:bottom w:val="single" w:sz="4" w:space="0" w:color="000000"/>
            </w:tcBorders>
          </w:tcPr>
          <w:p w14:paraId="11210623" w14:textId="77777777" w:rsidR="000E7449" w:rsidRPr="000A56DA" w:rsidRDefault="000E7449" w:rsidP="00A277F5">
            <w:pPr>
              <w:rPr>
                <w:sz w:val="20"/>
                <w:szCs w:val="20"/>
              </w:rPr>
            </w:pPr>
          </w:p>
        </w:tc>
        <w:tc>
          <w:tcPr>
            <w:tcW w:w="3330" w:type="dxa"/>
            <w:tcBorders>
              <w:bottom w:val="single" w:sz="4" w:space="0" w:color="000000"/>
            </w:tcBorders>
          </w:tcPr>
          <w:p w14:paraId="3AF53998"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6CAF3DA1" w14:textId="77777777" w:rsidR="000E7449" w:rsidRPr="000A56DA" w:rsidRDefault="000E7449" w:rsidP="00A277F5">
            <w:pPr>
              <w:rPr>
                <w:sz w:val="20"/>
                <w:szCs w:val="20"/>
              </w:rPr>
            </w:pPr>
          </w:p>
        </w:tc>
      </w:tr>
      <w:tr w:rsidR="000E7449" w:rsidRPr="000A56DA" w14:paraId="511B6317" w14:textId="77777777" w:rsidTr="00A277F5">
        <w:tc>
          <w:tcPr>
            <w:tcW w:w="3300" w:type="dxa"/>
            <w:tcBorders>
              <w:left w:val="single" w:sz="24" w:space="0" w:color="000000"/>
              <w:bottom w:val="single" w:sz="4" w:space="0" w:color="000000"/>
            </w:tcBorders>
          </w:tcPr>
          <w:p w14:paraId="308E594C" w14:textId="77777777" w:rsidR="000E7449" w:rsidRPr="000A56DA" w:rsidRDefault="000E7449" w:rsidP="00A277F5">
            <w:pPr>
              <w:numPr>
                <w:ilvl w:val="0"/>
                <w:numId w:val="3"/>
              </w:numPr>
              <w:pBdr>
                <w:top w:val="nil"/>
                <w:left w:val="nil"/>
                <w:bottom w:val="nil"/>
                <w:right w:val="nil"/>
                <w:between w:val="nil"/>
              </w:pBdr>
              <w:tabs>
                <w:tab w:val="left" w:pos="447"/>
              </w:tabs>
              <w:rPr>
                <w:b/>
                <w:color w:val="000000"/>
                <w:sz w:val="20"/>
                <w:szCs w:val="20"/>
              </w:rPr>
            </w:pPr>
            <w:r w:rsidRPr="000A56DA">
              <w:rPr>
                <w:color w:val="000000"/>
                <w:sz w:val="20"/>
                <w:szCs w:val="20"/>
              </w:rPr>
              <w:t>In healthy people</w:t>
            </w:r>
          </w:p>
        </w:tc>
        <w:tc>
          <w:tcPr>
            <w:tcW w:w="2790" w:type="dxa"/>
            <w:tcBorders>
              <w:bottom w:val="single" w:sz="4" w:space="0" w:color="000000"/>
            </w:tcBorders>
          </w:tcPr>
          <w:p w14:paraId="60047FCA" w14:textId="77777777" w:rsidR="000E7449" w:rsidRPr="000A56DA" w:rsidRDefault="000E7449" w:rsidP="00A277F5">
            <w:pPr>
              <w:rPr>
                <w:sz w:val="20"/>
                <w:szCs w:val="20"/>
              </w:rPr>
            </w:pPr>
            <w:r w:rsidRPr="000A56DA">
              <w:rPr>
                <w:sz w:val="20"/>
                <w:szCs w:val="20"/>
              </w:rPr>
              <w:t>The majority (80%) of infections are asymptomatic or mild (fever; cough; general malaise/weakness, pain in throat, chest, and abdomen; headache; nausea, vomiting, and diarrhea)</w:t>
            </w:r>
            <w:r w:rsidRPr="000A56DA">
              <w:rPr>
                <w:sz w:val="20"/>
                <w:szCs w:val="20"/>
                <w:lang w:eastAsia="zh-TW"/>
              </w:rPr>
              <w:t>;</w:t>
            </w:r>
            <w:r w:rsidRPr="000A56DA">
              <w:rPr>
                <w:sz w:val="20"/>
                <w:szCs w:val="20"/>
              </w:rPr>
              <w:t xml:space="preserve"> 20% progress to a more severe illness (hemorrhaging; respiratory distress; facial swelling, pleural/pericardial effusions; neurologic including hearing loss, tremor, seizure, encephalitis, and disorientation/coma; shock; multiorgan failure).</w:t>
            </w:r>
          </w:p>
        </w:tc>
        <w:tc>
          <w:tcPr>
            <w:tcW w:w="3330" w:type="dxa"/>
            <w:tcBorders>
              <w:bottom w:val="single" w:sz="4" w:space="0" w:color="000000"/>
            </w:tcBorders>
          </w:tcPr>
          <w:p w14:paraId="27A757A7" w14:textId="77777777" w:rsidR="000E7449" w:rsidRPr="000A56DA" w:rsidRDefault="000E7449" w:rsidP="00A277F5">
            <w:pPr>
              <w:rPr>
                <w:sz w:val="20"/>
                <w:szCs w:val="20"/>
              </w:rPr>
            </w:pPr>
            <w:r w:rsidRPr="000A56DA">
              <w:rPr>
                <w:sz w:val="20"/>
                <w:szCs w:val="20"/>
              </w:rPr>
              <w:t xml:space="preserve">Various degrees of sensorineural hearing loss may develop during convalescent phase in both mild </w:t>
            </w:r>
            <w:proofErr w:type="gramStart"/>
            <w:r w:rsidRPr="000A56DA">
              <w:rPr>
                <w:sz w:val="20"/>
                <w:szCs w:val="20"/>
              </w:rPr>
              <w:t>or</w:t>
            </w:r>
            <w:proofErr w:type="gramEnd"/>
            <w:r w:rsidRPr="000A56DA">
              <w:rPr>
                <w:sz w:val="20"/>
                <w:szCs w:val="20"/>
              </w:rPr>
              <w:t xml:space="preserve"> severe cases (25% of the survivors). Near or complete recovery of hearing after 3–4 months in approximately 50% of the affected, and while the remainder experience permanent hearing loss.</w:t>
            </w:r>
          </w:p>
          <w:p w14:paraId="59DA7164" w14:textId="77777777" w:rsidR="000E7449" w:rsidRPr="000A56DA" w:rsidRDefault="000E7449" w:rsidP="00A277F5">
            <w:pPr>
              <w:rPr>
                <w:sz w:val="20"/>
                <w:szCs w:val="20"/>
              </w:rPr>
            </w:pPr>
            <w:r w:rsidRPr="000A56DA">
              <w:rPr>
                <w:sz w:val="20"/>
                <w:szCs w:val="20"/>
              </w:rPr>
              <w:t>Transient hair loss, cerebellar ataxia, neuropsychiatric disorder, and polyserositis may occur during recovery.</w:t>
            </w:r>
          </w:p>
        </w:tc>
        <w:tc>
          <w:tcPr>
            <w:tcW w:w="2790" w:type="dxa"/>
            <w:tcBorders>
              <w:bottom w:val="single" w:sz="4" w:space="0" w:color="000000"/>
              <w:right w:val="single" w:sz="24" w:space="0" w:color="000000"/>
            </w:tcBorders>
          </w:tcPr>
          <w:p w14:paraId="2C3CED5C" w14:textId="77777777" w:rsidR="000E7449" w:rsidRPr="000A56DA" w:rsidRDefault="000E7449" w:rsidP="00A277F5">
            <w:pPr>
              <w:rPr>
                <w:sz w:val="20"/>
                <w:szCs w:val="20"/>
              </w:rPr>
            </w:pPr>
            <w:r w:rsidRPr="000A56DA">
              <w:rPr>
                <w:sz w:val="20"/>
                <w:szCs w:val="20"/>
              </w:rPr>
              <w:t xml:space="preserve">Richmond JK et al. BMJ </w:t>
            </w:r>
            <w:proofErr w:type="gramStart"/>
            <w:r w:rsidRPr="000A56DA">
              <w:rPr>
                <w:sz w:val="20"/>
                <w:szCs w:val="20"/>
              </w:rPr>
              <w:t>2002;327:1271</w:t>
            </w:r>
            <w:proofErr w:type="gramEnd"/>
            <w:r w:rsidRPr="000A56DA">
              <w:rPr>
                <w:sz w:val="20"/>
                <w:szCs w:val="20"/>
              </w:rPr>
              <w:t>, doi: 10.1136/bmj.327.7426.1271</w:t>
            </w:r>
          </w:p>
          <w:p w14:paraId="386AA8B5" w14:textId="77777777" w:rsidR="000E7449" w:rsidRPr="000A56DA" w:rsidRDefault="000E7449" w:rsidP="00A277F5">
            <w:pPr>
              <w:rPr>
                <w:sz w:val="20"/>
                <w:szCs w:val="20"/>
              </w:rPr>
            </w:pPr>
            <w:r w:rsidRPr="000A56DA">
              <w:rPr>
                <w:sz w:val="20"/>
                <w:szCs w:val="20"/>
              </w:rPr>
              <w:t xml:space="preserve">CDC. Lassa fever fact sheet, </w:t>
            </w:r>
            <w:hyperlink r:id="rId9" w:history="1">
              <w:r w:rsidRPr="000A56DA">
                <w:rPr>
                  <w:rStyle w:val="Hyperlink"/>
                  <w:sz w:val="20"/>
                  <w:szCs w:val="20"/>
                </w:rPr>
                <w:t>https://www.cdc.gov/vhf/lassa/pdf/factsheet.pdf</w:t>
              </w:r>
            </w:hyperlink>
            <w:r w:rsidRPr="000A56DA">
              <w:rPr>
                <w:sz w:val="20"/>
                <w:szCs w:val="20"/>
              </w:rPr>
              <w:t xml:space="preserve"> </w:t>
            </w:r>
          </w:p>
          <w:p w14:paraId="6ED6E9C3" w14:textId="77777777" w:rsidR="000E7449" w:rsidRPr="000A56DA" w:rsidRDefault="000E7449" w:rsidP="00A277F5">
            <w:pPr>
              <w:rPr>
                <w:sz w:val="20"/>
                <w:szCs w:val="20"/>
              </w:rPr>
            </w:pPr>
            <w:proofErr w:type="gramStart"/>
            <w:r w:rsidRPr="000A56DA">
              <w:rPr>
                <w:sz w:val="20"/>
                <w:szCs w:val="20"/>
              </w:rPr>
              <w:t>WHO.</w:t>
            </w:r>
            <w:proofErr w:type="gramEnd"/>
            <w:r w:rsidRPr="000A56DA">
              <w:rPr>
                <w:sz w:val="20"/>
                <w:szCs w:val="20"/>
              </w:rPr>
              <w:t xml:space="preserve"> Lassa fever fact sheet, </w:t>
            </w:r>
            <w:hyperlink r:id="rId10" w:history="1">
              <w:r w:rsidRPr="000A56DA">
                <w:rPr>
                  <w:rStyle w:val="Hyperlink"/>
                  <w:sz w:val="20"/>
                  <w:szCs w:val="20"/>
                </w:rPr>
                <w:t>http://www.who.int/mediacentre/factsheets/fs179/en</w:t>
              </w:r>
            </w:hyperlink>
            <w:r w:rsidRPr="000A56DA">
              <w:rPr>
                <w:sz w:val="20"/>
                <w:szCs w:val="20"/>
              </w:rPr>
              <w:t>.</w:t>
            </w:r>
          </w:p>
          <w:p w14:paraId="45D2DF04" w14:textId="77777777" w:rsidR="000E7449" w:rsidRPr="000A56DA" w:rsidRDefault="000E7449" w:rsidP="00A277F5">
            <w:pPr>
              <w:rPr>
                <w:sz w:val="20"/>
                <w:szCs w:val="20"/>
              </w:rPr>
            </w:pPr>
            <w:r w:rsidRPr="000A56DA">
              <w:rPr>
                <w:sz w:val="20"/>
                <w:szCs w:val="20"/>
              </w:rPr>
              <w:t xml:space="preserve">McCormick JB et al. In Arenaviruses I, 2002; Oldstone </w:t>
            </w:r>
            <w:proofErr w:type="gramStart"/>
            <w:r w:rsidRPr="000A56DA">
              <w:rPr>
                <w:sz w:val="20"/>
                <w:szCs w:val="20"/>
              </w:rPr>
              <w:t>MBA(</w:t>
            </w:r>
            <w:proofErr w:type="gramEnd"/>
            <w:r w:rsidRPr="000A56DA">
              <w:rPr>
                <w:sz w:val="20"/>
                <w:szCs w:val="20"/>
              </w:rPr>
              <w:t xml:space="preserve">ed). Springer-Verlag Berlin Heidelberg 2002; Chapter 9:75. </w:t>
            </w:r>
          </w:p>
          <w:p w14:paraId="45C27BFD" w14:textId="77777777" w:rsidR="000E7449" w:rsidRPr="000A56DA" w:rsidRDefault="000E7449" w:rsidP="00A277F5">
            <w:pPr>
              <w:rPr>
                <w:sz w:val="20"/>
                <w:szCs w:val="20"/>
              </w:rPr>
            </w:pPr>
          </w:p>
        </w:tc>
      </w:tr>
      <w:tr w:rsidR="000E7449" w:rsidRPr="000A56DA" w14:paraId="3F0D914F" w14:textId="77777777" w:rsidTr="00A277F5">
        <w:tc>
          <w:tcPr>
            <w:tcW w:w="3300" w:type="dxa"/>
            <w:tcBorders>
              <w:left w:val="single" w:sz="24" w:space="0" w:color="000000"/>
              <w:bottom w:val="single" w:sz="4" w:space="0" w:color="000000"/>
            </w:tcBorders>
          </w:tcPr>
          <w:p w14:paraId="22B53C74" w14:textId="77777777" w:rsidR="000E7449" w:rsidRPr="000A56DA" w:rsidRDefault="000E7449" w:rsidP="00A277F5">
            <w:pPr>
              <w:numPr>
                <w:ilvl w:val="0"/>
                <w:numId w:val="4"/>
              </w:numPr>
              <w:pBdr>
                <w:top w:val="nil"/>
                <w:left w:val="nil"/>
                <w:bottom w:val="nil"/>
                <w:right w:val="nil"/>
                <w:between w:val="nil"/>
              </w:pBdr>
              <w:tabs>
                <w:tab w:val="left" w:pos="447"/>
              </w:tabs>
              <w:rPr>
                <w:b/>
                <w:color w:val="000000"/>
                <w:sz w:val="20"/>
                <w:szCs w:val="20"/>
              </w:rPr>
            </w:pPr>
            <w:r w:rsidRPr="000A56DA">
              <w:rPr>
                <w:color w:val="000000"/>
                <w:sz w:val="20"/>
                <w:szCs w:val="20"/>
              </w:rPr>
              <w:t>In immunocompromised people</w:t>
            </w:r>
          </w:p>
        </w:tc>
        <w:tc>
          <w:tcPr>
            <w:tcW w:w="2790" w:type="dxa"/>
            <w:tcBorders>
              <w:bottom w:val="single" w:sz="4" w:space="0" w:color="000000"/>
            </w:tcBorders>
          </w:tcPr>
          <w:p w14:paraId="1DDCF27A" w14:textId="77777777" w:rsidR="000E7449" w:rsidRPr="000A56DA" w:rsidRDefault="000E7449" w:rsidP="00A277F5">
            <w:pPr>
              <w:rPr>
                <w:sz w:val="20"/>
                <w:szCs w:val="20"/>
                <w:lang w:eastAsia="zh-TW"/>
              </w:rPr>
            </w:pPr>
            <w:proofErr w:type="gramStart"/>
            <w:r w:rsidRPr="000A56DA">
              <w:rPr>
                <w:sz w:val="20"/>
                <w:szCs w:val="20"/>
                <w:lang w:eastAsia="zh-TW"/>
              </w:rPr>
              <w:t>Similar to</w:t>
            </w:r>
            <w:proofErr w:type="gramEnd"/>
            <w:r w:rsidRPr="000A56DA">
              <w:rPr>
                <w:sz w:val="20"/>
                <w:szCs w:val="20"/>
                <w:lang w:eastAsia="zh-TW"/>
              </w:rPr>
              <w:t xml:space="preserve"> those in health adults.</w:t>
            </w:r>
          </w:p>
        </w:tc>
        <w:tc>
          <w:tcPr>
            <w:tcW w:w="3330" w:type="dxa"/>
            <w:tcBorders>
              <w:bottom w:val="single" w:sz="4" w:space="0" w:color="000000"/>
            </w:tcBorders>
          </w:tcPr>
          <w:p w14:paraId="404EFEF9"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31986954" w14:textId="77777777" w:rsidR="000E7449" w:rsidRPr="000A56DA" w:rsidRDefault="000E7449" w:rsidP="00A277F5">
            <w:pPr>
              <w:rPr>
                <w:sz w:val="20"/>
                <w:szCs w:val="20"/>
              </w:rPr>
            </w:pPr>
          </w:p>
        </w:tc>
      </w:tr>
      <w:tr w:rsidR="000E7449" w:rsidRPr="000A56DA" w14:paraId="22560906" w14:textId="77777777" w:rsidTr="00A277F5">
        <w:tc>
          <w:tcPr>
            <w:tcW w:w="3300" w:type="dxa"/>
            <w:tcBorders>
              <w:left w:val="single" w:sz="24" w:space="0" w:color="000000"/>
              <w:bottom w:val="single" w:sz="4" w:space="0" w:color="000000"/>
            </w:tcBorders>
          </w:tcPr>
          <w:p w14:paraId="068C5CB8" w14:textId="77777777" w:rsidR="000E7449" w:rsidRPr="000A56DA" w:rsidRDefault="000E7449" w:rsidP="00A277F5">
            <w:pPr>
              <w:numPr>
                <w:ilvl w:val="0"/>
                <w:numId w:val="4"/>
              </w:numPr>
              <w:pBdr>
                <w:top w:val="nil"/>
                <w:left w:val="nil"/>
                <w:bottom w:val="nil"/>
                <w:right w:val="nil"/>
                <w:between w:val="nil"/>
              </w:pBdr>
              <w:tabs>
                <w:tab w:val="left" w:pos="447"/>
              </w:tabs>
              <w:rPr>
                <w:b/>
                <w:color w:val="000000"/>
                <w:sz w:val="20"/>
                <w:szCs w:val="20"/>
              </w:rPr>
            </w:pPr>
            <w:r w:rsidRPr="000A56DA">
              <w:rPr>
                <w:color w:val="000000"/>
                <w:sz w:val="20"/>
                <w:szCs w:val="20"/>
              </w:rPr>
              <w:t>In neonates, infants, children</w:t>
            </w:r>
          </w:p>
        </w:tc>
        <w:tc>
          <w:tcPr>
            <w:tcW w:w="2790" w:type="dxa"/>
            <w:tcBorders>
              <w:bottom w:val="single" w:sz="4" w:space="0" w:color="000000"/>
            </w:tcBorders>
          </w:tcPr>
          <w:p w14:paraId="51CDAA3A" w14:textId="77777777" w:rsidR="000E7449" w:rsidRPr="000A56DA" w:rsidRDefault="000E7449" w:rsidP="00A277F5">
            <w:pPr>
              <w:rPr>
                <w:sz w:val="20"/>
                <w:szCs w:val="20"/>
              </w:rPr>
            </w:pPr>
            <w:r w:rsidRPr="000A56DA">
              <w:rPr>
                <w:sz w:val="20"/>
                <w:szCs w:val="20"/>
              </w:rPr>
              <w:t xml:space="preserve">Infection in infants can result in “swollen baby syndrome” with generalized edema (anasarca), abdominal distension, </w:t>
            </w:r>
            <w:proofErr w:type="gramStart"/>
            <w:r w:rsidRPr="000A56DA">
              <w:rPr>
                <w:sz w:val="20"/>
                <w:szCs w:val="20"/>
              </w:rPr>
              <w:t>bleeding</w:t>
            </w:r>
            <w:proofErr w:type="gramEnd"/>
            <w:r w:rsidRPr="000A56DA">
              <w:rPr>
                <w:sz w:val="20"/>
                <w:szCs w:val="20"/>
              </w:rPr>
              <w:t xml:space="preserve"> and death. Symptoms in children 2 years and older are </w:t>
            </w:r>
            <w:proofErr w:type="gramStart"/>
            <w:r w:rsidRPr="000A56DA">
              <w:rPr>
                <w:sz w:val="20"/>
                <w:szCs w:val="20"/>
              </w:rPr>
              <w:t>similar to</w:t>
            </w:r>
            <w:proofErr w:type="gramEnd"/>
            <w:r w:rsidRPr="000A56DA">
              <w:rPr>
                <w:sz w:val="20"/>
                <w:szCs w:val="20"/>
              </w:rPr>
              <w:t xml:space="preserve"> those in healthy adults.</w:t>
            </w:r>
          </w:p>
        </w:tc>
        <w:tc>
          <w:tcPr>
            <w:tcW w:w="3330" w:type="dxa"/>
            <w:tcBorders>
              <w:bottom w:val="single" w:sz="4" w:space="0" w:color="000000"/>
            </w:tcBorders>
          </w:tcPr>
          <w:p w14:paraId="5A08536D"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0C756D12" w14:textId="77777777" w:rsidR="000E7449" w:rsidRPr="000A56DA" w:rsidRDefault="000E7449" w:rsidP="00A277F5">
            <w:pPr>
              <w:rPr>
                <w:sz w:val="20"/>
                <w:szCs w:val="20"/>
              </w:rPr>
            </w:pPr>
            <w:r w:rsidRPr="000A56DA">
              <w:rPr>
                <w:sz w:val="20"/>
                <w:szCs w:val="20"/>
              </w:rPr>
              <w:t xml:space="preserve">Eze K et al. Niger Med J </w:t>
            </w:r>
            <w:proofErr w:type="gramStart"/>
            <w:r w:rsidRPr="000A56DA">
              <w:rPr>
                <w:sz w:val="20"/>
                <w:szCs w:val="20"/>
              </w:rPr>
              <w:t>2014;55:195</w:t>
            </w:r>
            <w:proofErr w:type="gramEnd"/>
            <w:r w:rsidRPr="000A56DA">
              <w:rPr>
                <w:sz w:val="20"/>
                <w:szCs w:val="20"/>
              </w:rPr>
              <w:t>, doi: 10.4103/0300-1652.132037</w:t>
            </w:r>
          </w:p>
          <w:p w14:paraId="0FE5F14E" w14:textId="77777777" w:rsidR="000E7449" w:rsidRPr="000A56DA" w:rsidRDefault="000E7449" w:rsidP="00A277F5">
            <w:pPr>
              <w:rPr>
                <w:sz w:val="20"/>
                <w:szCs w:val="20"/>
              </w:rPr>
            </w:pPr>
            <w:r w:rsidRPr="000A56DA">
              <w:rPr>
                <w:sz w:val="20"/>
                <w:szCs w:val="20"/>
              </w:rPr>
              <w:t xml:space="preserve">Robinson J. </w:t>
            </w:r>
            <w:hyperlink r:id="rId11" w:history="1">
              <w:r w:rsidRPr="000A56DA">
                <w:rPr>
                  <w:rStyle w:val="Hyperlink"/>
                  <w:sz w:val="20"/>
                  <w:szCs w:val="20"/>
                </w:rPr>
                <w:t>http://vhfc.org/lassa_fever</w:t>
              </w:r>
            </w:hyperlink>
            <w:r w:rsidRPr="000A56DA">
              <w:rPr>
                <w:sz w:val="20"/>
                <w:szCs w:val="20"/>
              </w:rPr>
              <w:t xml:space="preserve"> </w:t>
            </w:r>
          </w:p>
          <w:p w14:paraId="036705CC" w14:textId="77777777" w:rsidR="000E7449" w:rsidRPr="000A56DA" w:rsidRDefault="000E7449" w:rsidP="00A277F5">
            <w:pPr>
              <w:rPr>
                <w:sz w:val="20"/>
                <w:szCs w:val="20"/>
              </w:rPr>
            </w:pPr>
            <w:r w:rsidRPr="000A56DA">
              <w:rPr>
                <w:sz w:val="20"/>
                <w:szCs w:val="20"/>
              </w:rPr>
              <w:t xml:space="preserve">Monson MH et al. Am J Trop Med Hyg </w:t>
            </w:r>
            <w:proofErr w:type="gramStart"/>
            <w:r w:rsidRPr="000A56DA">
              <w:rPr>
                <w:sz w:val="20"/>
                <w:szCs w:val="20"/>
              </w:rPr>
              <w:t>1987;36:408</w:t>
            </w:r>
            <w:proofErr w:type="gramEnd"/>
            <w:r w:rsidRPr="000A56DA">
              <w:rPr>
                <w:sz w:val="20"/>
                <w:szCs w:val="20"/>
              </w:rPr>
              <w:t>, doi: 10.4269/ajtmh.1987.36.408</w:t>
            </w:r>
          </w:p>
        </w:tc>
      </w:tr>
      <w:tr w:rsidR="000E7449" w:rsidRPr="000A56DA" w14:paraId="36D740F0" w14:textId="77777777" w:rsidTr="00A277F5">
        <w:tc>
          <w:tcPr>
            <w:tcW w:w="3300" w:type="dxa"/>
            <w:tcBorders>
              <w:left w:val="single" w:sz="24" w:space="0" w:color="000000"/>
              <w:bottom w:val="single" w:sz="4" w:space="0" w:color="000000"/>
            </w:tcBorders>
          </w:tcPr>
          <w:p w14:paraId="59A50192" w14:textId="77777777" w:rsidR="000E7449" w:rsidRPr="000A56DA" w:rsidRDefault="000E7449" w:rsidP="00A277F5">
            <w:pPr>
              <w:numPr>
                <w:ilvl w:val="0"/>
                <w:numId w:val="4"/>
              </w:numPr>
              <w:pBdr>
                <w:top w:val="nil"/>
                <w:left w:val="nil"/>
                <w:bottom w:val="nil"/>
                <w:right w:val="nil"/>
                <w:between w:val="nil"/>
              </w:pBdr>
              <w:tabs>
                <w:tab w:val="left" w:pos="447"/>
              </w:tabs>
              <w:rPr>
                <w:b/>
                <w:color w:val="000000"/>
                <w:sz w:val="20"/>
                <w:szCs w:val="20"/>
              </w:rPr>
            </w:pPr>
            <w:r w:rsidRPr="000A56DA">
              <w:rPr>
                <w:color w:val="000000"/>
                <w:sz w:val="20"/>
                <w:szCs w:val="20"/>
              </w:rPr>
              <w:t>During pregnancy and in the fetus</w:t>
            </w:r>
          </w:p>
        </w:tc>
        <w:tc>
          <w:tcPr>
            <w:tcW w:w="2790" w:type="dxa"/>
            <w:tcBorders>
              <w:bottom w:val="single" w:sz="4" w:space="0" w:color="000000"/>
            </w:tcBorders>
          </w:tcPr>
          <w:p w14:paraId="2A3A2870" w14:textId="77777777" w:rsidR="000E7449" w:rsidRPr="000A56DA" w:rsidRDefault="000E7449" w:rsidP="00A277F5">
            <w:pPr>
              <w:rPr>
                <w:sz w:val="20"/>
                <w:szCs w:val="20"/>
              </w:rPr>
            </w:pPr>
            <w:r w:rsidRPr="000A56DA">
              <w:rPr>
                <w:sz w:val="20"/>
                <w:szCs w:val="20"/>
              </w:rPr>
              <w:t>Pregnant women are more likely to have severe illness with infection than women who are not pregnant. The maternal case fatality rate is highest in the 3</w:t>
            </w:r>
            <w:r w:rsidRPr="000A56DA">
              <w:rPr>
                <w:sz w:val="20"/>
                <w:szCs w:val="20"/>
                <w:vertAlign w:val="superscript"/>
              </w:rPr>
              <w:t>rd</w:t>
            </w:r>
            <w:r w:rsidRPr="000A56DA">
              <w:rPr>
                <w:sz w:val="20"/>
                <w:szCs w:val="20"/>
              </w:rPr>
              <w:t xml:space="preserve"> trimester of pregnancy (up to 80%), with spontaneous abortions, stillbirth, or neonatal death (95% fetal mortality) if infection during pregnancy.</w:t>
            </w:r>
          </w:p>
        </w:tc>
        <w:tc>
          <w:tcPr>
            <w:tcW w:w="3330" w:type="dxa"/>
            <w:tcBorders>
              <w:bottom w:val="single" w:sz="4" w:space="0" w:color="000000"/>
            </w:tcBorders>
          </w:tcPr>
          <w:p w14:paraId="142E27D5"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49BAD35F" w14:textId="77777777" w:rsidR="000E7449" w:rsidRPr="000A56DA" w:rsidRDefault="000E7449" w:rsidP="00A277F5">
            <w:pPr>
              <w:rPr>
                <w:sz w:val="20"/>
                <w:szCs w:val="20"/>
              </w:rPr>
            </w:pPr>
            <w:r w:rsidRPr="000A56DA">
              <w:rPr>
                <w:sz w:val="20"/>
                <w:szCs w:val="20"/>
              </w:rPr>
              <w:t xml:space="preserve">McCormick JB et al. J Infect Dis </w:t>
            </w:r>
            <w:proofErr w:type="gramStart"/>
            <w:r w:rsidRPr="000A56DA">
              <w:rPr>
                <w:sz w:val="20"/>
                <w:szCs w:val="20"/>
              </w:rPr>
              <w:t>1987;155:445</w:t>
            </w:r>
            <w:proofErr w:type="gramEnd"/>
            <w:r w:rsidRPr="000A56DA">
              <w:rPr>
                <w:sz w:val="20"/>
                <w:szCs w:val="20"/>
              </w:rPr>
              <w:t>, doi: 10.1093/infdis/155.3.445</w:t>
            </w:r>
          </w:p>
          <w:p w14:paraId="1F4BB7CF" w14:textId="77777777" w:rsidR="000E7449" w:rsidRPr="000A56DA" w:rsidRDefault="000E7449" w:rsidP="00A277F5">
            <w:pPr>
              <w:rPr>
                <w:sz w:val="20"/>
                <w:szCs w:val="20"/>
              </w:rPr>
            </w:pPr>
            <w:r w:rsidRPr="000A56DA">
              <w:rPr>
                <w:sz w:val="20"/>
                <w:szCs w:val="20"/>
              </w:rPr>
              <w:t xml:space="preserve">Price ME et al. BMJ </w:t>
            </w:r>
            <w:proofErr w:type="gramStart"/>
            <w:r w:rsidRPr="000A56DA">
              <w:rPr>
                <w:sz w:val="20"/>
                <w:szCs w:val="20"/>
              </w:rPr>
              <w:t>1998;297:584</w:t>
            </w:r>
            <w:proofErr w:type="gramEnd"/>
            <w:r w:rsidRPr="000A56DA">
              <w:rPr>
                <w:sz w:val="20"/>
                <w:szCs w:val="20"/>
              </w:rPr>
              <w:t>, doi: 10.1136/bmj.297.6648.584</w:t>
            </w:r>
          </w:p>
        </w:tc>
      </w:tr>
      <w:tr w:rsidR="000E7449" w:rsidRPr="000A56DA" w14:paraId="2463CE42" w14:textId="77777777" w:rsidTr="00A277F5">
        <w:tc>
          <w:tcPr>
            <w:tcW w:w="3300" w:type="dxa"/>
            <w:tcBorders>
              <w:left w:val="single" w:sz="24" w:space="0" w:color="000000"/>
              <w:bottom w:val="single" w:sz="4" w:space="0" w:color="000000"/>
            </w:tcBorders>
          </w:tcPr>
          <w:p w14:paraId="7AE30EA0" w14:textId="77777777" w:rsidR="000E7449" w:rsidRPr="000A56DA" w:rsidRDefault="000E7449" w:rsidP="00A277F5">
            <w:pPr>
              <w:numPr>
                <w:ilvl w:val="0"/>
                <w:numId w:val="4"/>
              </w:numPr>
              <w:pBdr>
                <w:top w:val="nil"/>
                <w:left w:val="nil"/>
                <w:bottom w:val="nil"/>
                <w:right w:val="nil"/>
                <w:between w:val="nil"/>
              </w:pBdr>
              <w:tabs>
                <w:tab w:val="left" w:pos="447"/>
              </w:tabs>
              <w:rPr>
                <w:b/>
                <w:color w:val="000000"/>
                <w:sz w:val="20"/>
                <w:szCs w:val="20"/>
              </w:rPr>
            </w:pPr>
            <w:r w:rsidRPr="000A56DA">
              <w:rPr>
                <w:color w:val="000000"/>
                <w:sz w:val="20"/>
                <w:szCs w:val="20"/>
              </w:rPr>
              <w:t>In elderly</w:t>
            </w:r>
          </w:p>
        </w:tc>
        <w:tc>
          <w:tcPr>
            <w:tcW w:w="2790" w:type="dxa"/>
            <w:tcBorders>
              <w:bottom w:val="single" w:sz="4" w:space="0" w:color="000000"/>
            </w:tcBorders>
          </w:tcPr>
          <w:p w14:paraId="73B50F5A" w14:textId="77777777" w:rsidR="000E7449" w:rsidRPr="000A56DA" w:rsidRDefault="000E7449" w:rsidP="00A277F5">
            <w:pPr>
              <w:rPr>
                <w:sz w:val="20"/>
                <w:szCs w:val="20"/>
              </w:rPr>
            </w:pPr>
            <w:proofErr w:type="gramStart"/>
            <w:r w:rsidRPr="000A56DA">
              <w:rPr>
                <w:sz w:val="20"/>
                <w:szCs w:val="20"/>
              </w:rPr>
              <w:t>Similar to</w:t>
            </w:r>
            <w:proofErr w:type="gramEnd"/>
            <w:r w:rsidRPr="000A56DA">
              <w:rPr>
                <w:sz w:val="20"/>
                <w:szCs w:val="20"/>
              </w:rPr>
              <w:t xml:space="preserve"> those in healthy adults.</w:t>
            </w:r>
          </w:p>
        </w:tc>
        <w:tc>
          <w:tcPr>
            <w:tcW w:w="3330" w:type="dxa"/>
            <w:tcBorders>
              <w:bottom w:val="single" w:sz="4" w:space="0" w:color="000000"/>
            </w:tcBorders>
          </w:tcPr>
          <w:p w14:paraId="041ADA06"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152AC211" w14:textId="77777777" w:rsidR="000E7449" w:rsidRPr="000A56DA" w:rsidRDefault="000E7449" w:rsidP="00A277F5">
            <w:pPr>
              <w:rPr>
                <w:sz w:val="20"/>
                <w:szCs w:val="20"/>
              </w:rPr>
            </w:pPr>
          </w:p>
        </w:tc>
      </w:tr>
      <w:tr w:rsidR="000E7449" w:rsidRPr="000A56DA" w14:paraId="266157E2" w14:textId="77777777" w:rsidTr="00A277F5">
        <w:tc>
          <w:tcPr>
            <w:tcW w:w="3300" w:type="dxa"/>
            <w:tcBorders>
              <w:left w:val="single" w:sz="24" w:space="0" w:color="000000"/>
              <w:bottom w:val="single" w:sz="4" w:space="0" w:color="000000"/>
            </w:tcBorders>
          </w:tcPr>
          <w:p w14:paraId="23EC89C7" w14:textId="77777777" w:rsidR="000E7449" w:rsidRPr="000A56DA" w:rsidRDefault="000E7449" w:rsidP="00A277F5">
            <w:pPr>
              <w:numPr>
                <w:ilvl w:val="0"/>
                <w:numId w:val="4"/>
              </w:numPr>
              <w:pBdr>
                <w:top w:val="nil"/>
                <w:left w:val="nil"/>
                <w:bottom w:val="nil"/>
                <w:right w:val="nil"/>
                <w:between w:val="nil"/>
              </w:pBdr>
              <w:tabs>
                <w:tab w:val="left" w:pos="447"/>
              </w:tabs>
              <w:rPr>
                <w:b/>
                <w:color w:val="000000"/>
                <w:sz w:val="20"/>
                <w:szCs w:val="20"/>
              </w:rPr>
            </w:pPr>
            <w:r w:rsidRPr="000A56DA">
              <w:rPr>
                <w:color w:val="000000"/>
                <w:sz w:val="20"/>
                <w:szCs w:val="20"/>
              </w:rPr>
              <w:t>In any other special populations</w:t>
            </w:r>
          </w:p>
        </w:tc>
        <w:tc>
          <w:tcPr>
            <w:tcW w:w="2790" w:type="dxa"/>
            <w:tcBorders>
              <w:bottom w:val="single" w:sz="4" w:space="0" w:color="000000"/>
            </w:tcBorders>
          </w:tcPr>
          <w:p w14:paraId="446E5BED" w14:textId="77777777" w:rsidR="000E7449" w:rsidRPr="000A56DA" w:rsidRDefault="000E7449" w:rsidP="00A277F5">
            <w:pPr>
              <w:rPr>
                <w:sz w:val="20"/>
                <w:szCs w:val="20"/>
              </w:rPr>
            </w:pPr>
            <w:r w:rsidRPr="000A56DA">
              <w:rPr>
                <w:sz w:val="20"/>
                <w:szCs w:val="20"/>
              </w:rPr>
              <w:t>No.</w:t>
            </w:r>
          </w:p>
        </w:tc>
        <w:tc>
          <w:tcPr>
            <w:tcW w:w="3330" w:type="dxa"/>
            <w:tcBorders>
              <w:bottom w:val="single" w:sz="4" w:space="0" w:color="000000"/>
            </w:tcBorders>
          </w:tcPr>
          <w:p w14:paraId="58C97B9F"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44986B83" w14:textId="77777777" w:rsidR="000E7449" w:rsidRPr="000A56DA" w:rsidRDefault="000E7449" w:rsidP="00A277F5">
            <w:pPr>
              <w:rPr>
                <w:sz w:val="20"/>
                <w:szCs w:val="20"/>
              </w:rPr>
            </w:pPr>
          </w:p>
        </w:tc>
      </w:tr>
      <w:tr w:rsidR="000E7449" w:rsidRPr="000A56DA" w14:paraId="527F07F0" w14:textId="77777777" w:rsidTr="00A277F5">
        <w:tc>
          <w:tcPr>
            <w:tcW w:w="3300" w:type="dxa"/>
            <w:tcBorders>
              <w:left w:val="single" w:sz="24" w:space="0" w:color="000000"/>
              <w:bottom w:val="single" w:sz="4" w:space="0" w:color="000000"/>
            </w:tcBorders>
          </w:tcPr>
          <w:p w14:paraId="7F754407" w14:textId="77777777" w:rsidR="000E7449" w:rsidRPr="000A56DA" w:rsidRDefault="000E7449" w:rsidP="00A277F5">
            <w:pPr>
              <w:tabs>
                <w:tab w:val="left" w:pos="447"/>
              </w:tabs>
              <w:rPr>
                <w:b/>
                <w:sz w:val="20"/>
                <w:szCs w:val="20"/>
              </w:rPr>
            </w:pPr>
            <w:r w:rsidRPr="000A56DA">
              <w:rPr>
                <w:b/>
                <w:color w:val="000000"/>
                <w:sz w:val="20"/>
                <w:szCs w:val="20"/>
              </w:rPr>
              <w:lastRenderedPageBreak/>
              <w:t xml:space="preserve">5.3 </w:t>
            </w:r>
            <w:r w:rsidRPr="000A56DA">
              <w:rPr>
                <w:color w:val="000000"/>
                <w:sz w:val="20"/>
                <w:szCs w:val="20"/>
              </w:rPr>
              <w:t xml:space="preserve">Briefly, what are the key epidemiologic characteristics of the disease caused by the target pathogen (e.g. </w:t>
            </w:r>
            <w:r w:rsidRPr="000A56DA">
              <w:rPr>
                <w:sz w:val="20"/>
                <w:szCs w:val="20"/>
              </w:rPr>
              <w:t>i</w:t>
            </w:r>
            <w:r w:rsidRPr="000A56DA">
              <w:rPr>
                <w:sz w:val="20"/>
                <w:szCs w:val="20"/>
                <w:highlight w:val="white"/>
              </w:rPr>
              <w:t>ncubation period, communicable period</w:t>
            </w:r>
            <w:r w:rsidRPr="000A56DA">
              <w:rPr>
                <w:i/>
                <w:sz w:val="20"/>
                <w:szCs w:val="20"/>
                <w:highlight w:val="white"/>
              </w:rPr>
              <w:t xml:space="preserve">, </w:t>
            </w:r>
            <w:r w:rsidRPr="000A56DA">
              <w:rPr>
                <w:sz w:val="20"/>
                <w:szCs w:val="20"/>
                <w:highlight w:val="white"/>
              </w:rPr>
              <w:t>route/s of transmission,</w:t>
            </w:r>
            <w:r w:rsidRPr="000A56DA">
              <w:rPr>
                <w:i/>
                <w:sz w:val="20"/>
                <w:szCs w:val="20"/>
                <w:highlight w:val="white"/>
              </w:rPr>
              <w:t xml:space="preserve"> </w:t>
            </w:r>
            <w:r w:rsidRPr="000A56DA">
              <w:rPr>
                <w:sz w:val="20"/>
                <w:szCs w:val="20"/>
                <w:highlight w:val="white"/>
              </w:rPr>
              <w:t>case fatality rate, transmissibility characteristics such as basic reproductive ratio</w:t>
            </w:r>
            <w:r w:rsidRPr="000A56DA">
              <w:rPr>
                <w:i/>
                <w:sz w:val="20"/>
                <w:szCs w:val="20"/>
                <w:highlight w:val="white"/>
              </w:rPr>
              <w:t xml:space="preserve"> (</w:t>
            </w:r>
            <w:r w:rsidRPr="000A56DA">
              <w:rPr>
                <w:sz w:val="20"/>
                <w:szCs w:val="20"/>
                <w:highlight w:val="white"/>
              </w:rPr>
              <w:t>R</w:t>
            </w:r>
            <w:r w:rsidRPr="000A56DA">
              <w:rPr>
                <w:sz w:val="20"/>
                <w:szCs w:val="20"/>
                <w:highlight w:val="white"/>
                <w:vertAlign w:val="subscript"/>
              </w:rPr>
              <w:t>0</w:t>
            </w:r>
            <w:r w:rsidRPr="000A56DA">
              <w:rPr>
                <w:i/>
                <w:sz w:val="20"/>
                <w:szCs w:val="20"/>
                <w:highlight w:val="white"/>
              </w:rPr>
              <w:t>)</w:t>
            </w:r>
            <w:r w:rsidRPr="000A56DA">
              <w:rPr>
                <w:sz w:val="20"/>
                <w:szCs w:val="20"/>
                <w:highlight w:val="white"/>
              </w:rPr>
              <w:t xml:space="preserve"> etc.)</w:t>
            </w:r>
            <w:r w:rsidRPr="000A56DA">
              <w:rPr>
                <w:color w:val="000000"/>
                <w:sz w:val="20"/>
                <w:szCs w:val="20"/>
              </w:rPr>
              <w:t>?</w:t>
            </w:r>
          </w:p>
        </w:tc>
        <w:tc>
          <w:tcPr>
            <w:tcW w:w="2790" w:type="dxa"/>
            <w:tcBorders>
              <w:bottom w:val="single" w:sz="4" w:space="0" w:color="000000"/>
            </w:tcBorders>
          </w:tcPr>
          <w:p w14:paraId="50BFB2F5" w14:textId="77777777" w:rsidR="000E7449" w:rsidRPr="000A56DA" w:rsidRDefault="000E7449" w:rsidP="00A277F5">
            <w:pPr>
              <w:rPr>
                <w:sz w:val="20"/>
                <w:szCs w:val="20"/>
              </w:rPr>
            </w:pPr>
            <w:r w:rsidRPr="000A56DA">
              <w:rPr>
                <w:sz w:val="20"/>
                <w:szCs w:val="20"/>
              </w:rPr>
              <w:t>The incubation period is 7–21 days (average 10 days). Routes of transmission include zoonotic (from infected rodents (</w:t>
            </w:r>
            <w:r w:rsidRPr="000A56DA">
              <w:rPr>
                <w:i/>
                <w:iCs/>
                <w:sz w:val="20"/>
                <w:szCs w:val="20"/>
              </w:rPr>
              <w:t>Mastomys natalensis</w:t>
            </w:r>
            <w:r w:rsidRPr="000A56DA">
              <w:rPr>
                <w:sz w:val="20"/>
                <w:szCs w:val="20"/>
              </w:rPr>
              <w:t>) to human through inhalation, ingestion, or direct contact of secretions or contaminated foods; or human-to-human through direct, breastfeeding, or sexual contacts. Approximately 15%–20% of the hospitalized patients die (roughly 1%–3% of all infected cases).</w:t>
            </w:r>
          </w:p>
        </w:tc>
        <w:tc>
          <w:tcPr>
            <w:tcW w:w="3330" w:type="dxa"/>
            <w:tcBorders>
              <w:bottom w:val="single" w:sz="4" w:space="0" w:color="000000"/>
            </w:tcBorders>
          </w:tcPr>
          <w:p w14:paraId="654148ED"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1497A9D5" w14:textId="77777777" w:rsidR="000E7449" w:rsidRPr="000A56DA" w:rsidRDefault="000E7449" w:rsidP="00A277F5">
            <w:pPr>
              <w:rPr>
                <w:sz w:val="20"/>
                <w:szCs w:val="20"/>
              </w:rPr>
            </w:pPr>
            <w:r w:rsidRPr="000A56DA">
              <w:rPr>
                <w:sz w:val="20"/>
                <w:szCs w:val="20"/>
              </w:rPr>
              <w:t xml:space="preserve">CDC. Lassa fever fact sheet, </w:t>
            </w:r>
            <w:hyperlink r:id="rId12" w:history="1">
              <w:r w:rsidRPr="000A56DA">
                <w:rPr>
                  <w:rStyle w:val="Hyperlink"/>
                  <w:sz w:val="20"/>
                  <w:szCs w:val="20"/>
                </w:rPr>
                <w:t>https://www.cdc.gov/vhf/lassa/pdf/factsheet.pdf</w:t>
              </w:r>
            </w:hyperlink>
            <w:r w:rsidRPr="000A56DA">
              <w:rPr>
                <w:sz w:val="20"/>
                <w:szCs w:val="20"/>
              </w:rPr>
              <w:t xml:space="preserve"> </w:t>
            </w:r>
          </w:p>
          <w:p w14:paraId="195AFBEA" w14:textId="77777777" w:rsidR="000E7449" w:rsidRPr="000A56DA" w:rsidRDefault="000E7449" w:rsidP="00A277F5">
            <w:pPr>
              <w:rPr>
                <w:sz w:val="20"/>
                <w:szCs w:val="20"/>
              </w:rPr>
            </w:pPr>
            <w:proofErr w:type="gramStart"/>
            <w:r w:rsidRPr="000A56DA">
              <w:rPr>
                <w:sz w:val="20"/>
                <w:szCs w:val="20"/>
              </w:rPr>
              <w:t>WHO.</w:t>
            </w:r>
            <w:proofErr w:type="gramEnd"/>
            <w:r w:rsidRPr="000A56DA">
              <w:rPr>
                <w:sz w:val="20"/>
                <w:szCs w:val="20"/>
              </w:rPr>
              <w:t xml:space="preserve"> Lassa fever fact sheet, </w:t>
            </w:r>
            <w:hyperlink r:id="rId13" w:history="1">
              <w:r w:rsidRPr="000A56DA">
                <w:rPr>
                  <w:rStyle w:val="Hyperlink"/>
                  <w:sz w:val="20"/>
                  <w:szCs w:val="20"/>
                </w:rPr>
                <w:t>http://www.who.int/mediacentre/factsheets/fs179/en</w:t>
              </w:r>
            </w:hyperlink>
          </w:p>
        </w:tc>
      </w:tr>
      <w:tr w:rsidR="000E7449" w:rsidRPr="000A56DA" w14:paraId="119283EC" w14:textId="77777777" w:rsidTr="00A277F5">
        <w:tc>
          <w:tcPr>
            <w:tcW w:w="3300" w:type="dxa"/>
            <w:tcBorders>
              <w:left w:val="single" w:sz="24" w:space="0" w:color="000000"/>
              <w:bottom w:val="single" w:sz="4" w:space="0" w:color="000000"/>
            </w:tcBorders>
          </w:tcPr>
          <w:p w14:paraId="6E606A69" w14:textId="77777777" w:rsidR="000E7449" w:rsidRPr="000A56DA" w:rsidRDefault="000E7449" w:rsidP="00A277F5">
            <w:pPr>
              <w:tabs>
                <w:tab w:val="left" w:pos="447"/>
              </w:tabs>
              <w:rPr>
                <w:b/>
                <w:sz w:val="20"/>
                <w:szCs w:val="20"/>
              </w:rPr>
            </w:pPr>
            <w:r w:rsidRPr="000A56DA">
              <w:rPr>
                <w:b/>
                <w:sz w:val="20"/>
                <w:szCs w:val="20"/>
              </w:rPr>
              <w:t xml:space="preserve">5.4 </w:t>
            </w:r>
            <w:r w:rsidRPr="000A56DA">
              <w:rPr>
                <w:sz w:val="20"/>
                <w:szCs w:val="20"/>
              </w:rPr>
              <w:t>What sections of the population are most affected by the target pathogen (e.g. pediatric, pregnant, lactating women (breast feeding), adult, elderly)</w:t>
            </w:r>
          </w:p>
        </w:tc>
        <w:tc>
          <w:tcPr>
            <w:tcW w:w="2790" w:type="dxa"/>
            <w:tcBorders>
              <w:bottom w:val="single" w:sz="4" w:space="0" w:color="000000"/>
            </w:tcBorders>
          </w:tcPr>
          <w:p w14:paraId="03DF3163" w14:textId="77777777" w:rsidR="000E7449" w:rsidRPr="000A56DA" w:rsidRDefault="000E7449" w:rsidP="00A277F5">
            <w:pPr>
              <w:rPr>
                <w:sz w:val="20"/>
                <w:szCs w:val="20"/>
              </w:rPr>
            </w:pPr>
            <w:r w:rsidRPr="000A56DA">
              <w:rPr>
                <w:sz w:val="20"/>
                <w:szCs w:val="20"/>
              </w:rPr>
              <w:t>Lassa fever occurs in all age groups and both sexes. Persons at greatest risk are those living in rural areas of west African countries where </w:t>
            </w:r>
            <w:r w:rsidRPr="000A56DA">
              <w:rPr>
                <w:i/>
                <w:iCs/>
                <w:sz w:val="20"/>
                <w:szCs w:val="20"/>
              </w:rPr>
              <w:t>Mastomys</w:t>
            </w:r>
            <w:r w:rsidRPr="000A56DA">
              <w:rPr>
                <w:sz w:val="20"/>
                <w:szCs w:val="20"/>
              </w:rPr>
              <w:t> are usually found, especially in communities with poor sanitation or crowded living conditions. Health care workers are at risk if caring for infected patients without appropriate protective measures and infection control practices. Pregnant women, fetus, newborn infants, and immunocompromised people are at risk for severe disease.</w:t>
            </w:r>
          </w:p>
        </w:tc>
        <w:tc>
          <w:tcPr>
            <w:tcW w:w="3330" w:type="dxa"/>
            <w:tcBorders>
              <w:bottom w:val="single" w:sz="4" w:space="0" w:color="000000"/>
            </w:tcBorders>
          </w:tcPr>
          <w:p w14:paraId="24766487"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6CFB6668" w14:textId="77777777" w:rsidR="000E7449" w:rsidRPr="000A56DA" w:rsidRDefault="000E7449" w:rsidP="00A277F5">
            <w:pPr>
              <w:rPr>
                <w:sz w:val="20"/>
                <w:szCs w:val="20"/>
              </w:rPr>
            </w:pPr>
            <w:r w:rsidRPr="000A56DA">
              <w:rPr>
                <w:sz w:val="20"/>
                <w:szCs w:val="20"/>
              </w:rPr>
              <w:t xml:space="preserve">CDC. Lassa fever fact sheet, </w:t>
            </w:r>
            <w:hyperlink r:id="rId14" w:history="1">
              <w:r w:rsidRPr="000A56DA">
                <w:rPr>
                  <w:rStyle w:val="Hyperlink"/>
                  <w:sz w:val="20"/>
                  <w:szCs w:val="20"/>
                </w:rPr>
                <w:t>https://www.cdc.gov/vhf/lassa/pdf/factsheet.pdf</w:t>
              </w:r>
            </w:hyperlink>
            <w:r w:rsidRPr="000A56DA">
              <w:rPr>
                <w:sz w:val="20"/>
                <w:szCs w:val="20"/>
              </w:rPr>
              <w:t xml:space="preserve"> </w:t>
            </w:r>
          </w:p>
          <w:p w14:paraId="03949C0C" w14:textId="77777777" w:rsidR="000E7449" w:rsidRPr="000A56DA" w:rsidRDefault="000E7449" w:rsidP="00A277F5">
            <w:pPr>
              <w:rPr>
                <w:sz w:val="20"/>
                <w:szCs w:val="20"/>
              </w:rPr>
            </w:pPr>
            <w:proofErr w:type="gramStart"/>
            <w:r w:rsidRPr="000A56DA">
              <w:rPr>
                <w:sz w:val="20"/>
                <w:szCs w:val="20"/>
              </w:rPr>
              <w:t>WHO.</w:t>
            </w:r>
            <w:proofErr w:type="gramEnd"/>
            <w:r w:rsidRPr="000A56DA">
              <w:rPr>
                <w:sz w:val="20"/>
                <w:szCs w:val="20"/>
              </w:rPr>
              <w:t xml:space="preserve"> Lassa fever fact sheet, </w:t>
            </w:r>
            <w:hyperlink r:id="rId15" w:history="1">
              <w:r w:rsidRPr="000A56DA">
                <w:rPr>
                  <w:rStyle w:val="Hyperlink"/>
                  <w:sz w:val="20"/>
                  <w:szCs w:val="20"/>
                </w:rPr>
                <w:t>http://www.who.int/mediacentre/factsheets/fs179/en</w:t>
              </w:r>
            </w:hyperlink>
          </w:p>
          <w:p w14:paraId="77331A00" w14:textId="77777777" w:rsidR="000E7449" w:rsidRPr="000A56DA" w:rsidRDefault="000E7449" w:rsidP="00A277F5">
            <w:pPr>
              <w:rPr>
                <w:sz w:val="20"/>
                <w:szCs w:val="20"/>
              </w:rPr>
            </w:pPr>
            <w:r w:rsidRPr="000A56DA">
              <w:rPr>
                <w:sz w:val="20"/>
                <w:szCs w:val="20"/>
              </w:rPr>
              <w:t xml:space="preserve">Eze K et al. Niger Med J </w:t>
            </w:r>
            <w:proofErr w:type="gramStart"/>
            <w:r w:rsidRPr="000A56DA">
              <w:rPr>
                <w:sz w:val="20"/>
                <w:szCs w:val="20"/>
              </w:rPr>
              <w:t>2014;55:195</w:t>
            </w:r>
            <w:proofErr w:type="gramEnd"/>
            <w:r w:rsidRPr="000A56DA">
              <w:rPr>
                <w:sz w:val="20"/>
                <w:szCs w:val="20"/>
              </w:rPr>
              <w:t>, doi: 10.4103/0300-1652.132037</w:t>
            </w:r>
          </w:p>
          <w:p w14:paraId="7E796131" w14:textId="77777777" w:rsidR="000E7449" w:rsidRPr="000A56DA" w:rsidRDefault="000E7449" w:rsidP="00A277F5">
            <w:pPr>
              <w:rPr>
                <w:sz w:val="20"/>
                <w:szCs w:val="20"/>
              </w:rPr>
            </w:pPr>
            <w:r w:rsidRPr="000A56DA">
              <w:rPr>
                <w:sz w:val="20"/>
                <w:szCs w:val="20"/>
              </w:rPr>
              <w:t xml:space="preserve">McCormick JB et al. J Infect Dis </w:t>
            </w:r>
            <w:proofErr w:type="gramStart"/>
            <w:r w:rsidRPr="000A56DA">
              <w:rPr>
                <w:sz w:val="20"/>
                <w:szCs w:val="20"/>
              </w:rPr>
              <w:t>1987;155:445</w:t>
            </w:r>
            <w:proofErr w:type="gramEnd"/>
            <w:r w:rsidRPr="000A56DA">
              <w:rPr>
                <w:sz w:val="20"/>
                <w:szCs w:val="20"/>
              </w:rPr>
              <w:t>, doi: 10.1093/infdis/155.3.445</w:t>
            </w:r>
          </w:p>
        </w:tc>
      </w:tr>
      <w:tr w:rsidR="000E7449" w:rsidRPr="000A56DA" w14:paraId="5AB7E3A1" w14:textId="77777777" w:rsidTr="00A277F5">
        <w:tc>
          <w:tcPr>
            <w:tcW w:w="3300" w:type="dxa"/>
            <w:tcBorders>
              <w:left w:val="single" w:sz="24" w:space="0" w:color="000000"/>
              <w:bottom w:val="single" w:sz="4" w:space="0" w:color="000000"/>
            </w:tcBorders>
          </w:tcPr>
          <w:p w14:paraId="3CDBB699" w14:textId="77777777" w:rsidR="000E7449" w:rsidRPr="000A56DA" w:rsidRDefault="000E7449" w:rsidP="00A277F5">
            <w:pPr>
              <w:tabs>
                <w:tab w:val="left" w:pos="447"/>
              </w:tabs>
              <w:rPr>
                <w:b/>
                <w:sz w:val="20"/>
                <w:szCs w:val="20"/>
              </w:rPr>
            </w:pPr>
            <w:r w:rsidRPr="000A56DA">
              <w:rPr>
                <w:b/>
                <w:sz w:val="20"/>
                <w:szCs w:val="20"/>
              </w:rPr>
              <w:t>5.5</w:t>
            </w:r>
            <w:r w:rsidRPr="000A56DA">
              <w:rPr>
                <w:sz w:val="20"/>
                <w:szCs w:val="20"/>
              </w:rPr>
              <w:t xml:space="preserve"> What is known about the correlates of protective immunity to the target pathogen or to the disease?</w:t>
            </w:r>
          </w:p>
        </w:tc>
        <w:tc>
          <w:tcPr>
            <w:tcW w:w="2790" w:type="dxa"/>
            <w:tcBorders>
              <w:bottom w:val="single" w:sz="4" w:space="0" w:color="000000"/>
            </w:tcBorders>
          </w:tcPr>
          <w:p w14:paraId="53F8D875" w14:textId="77777777" w:rsidR="000E7449" w:rsidRPr="000A56DA" w:rsidRDefault="000E7449" w:rsidP="00A277F5">
            <w:pPr>
              <w:rPr>
                <w:sz w:val="20"/>
                <w:szCs w:val="20"/>
              </w:rPr>
            </w:pPr>
            <w:r w:rsidRPr="000A56DA">
              <w:rPr>
                <w:sz w:val="20"/>
                <w:szCs w:val="20"/>
              </w:rPr>
              <w:t>In animal studies, protection does not correlate with humoral immunity/ serum neutralizing antibodies, and likely depends more on cell-mediated immunity/cytotoxic T-cell response.</w:t>
            </w:r>
          </w:p>
        </w:tc>
        <w:tc>
          <w:tcPr>
            <w:tcW w:w="3330" w:type="dxa"/>
            <w:tcBorders>
              <w:bottom w:val="single" w:sz="4" w:space="0" w:color="000000"/>
            </w:tcBorders>
          </w:tcPr>
          <w:p w14:paraId="0C94E848"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479FDB96" w14:textId="77777777" w:rsidR="000E7449" w:rsidRPr="000A56DA" w:rsidRDefault="000E7449" w:rsidP="00A277F5">
            <w:pPr>
              <w:rPr>
                <w:sz w:val="20"/>
                <w:szCs w:val="20"/>
              </w:rPr>
            </w:pPr>
            <w:r w:rsidRPr="000A56DA">
              <w:rPr>
                <w:sz w:val="20"/>
                <w:szCs w:val="20"/>
              </w:rPr>
              <w:t xml:space="preserve">Fisher-Hoch et al. Expert Rev Vaccines </w:t>
            </w:r>
            <w:proofErr w:type="gramStart"/>
            <w:r w:rsidRPr="000A56DA">
              <w:rPr>
                <w:sz w:val="20"/>
                <w:szCs w:val="20"/>
              </w:rPr>
              <w:t>2004;3:189</w:t>
            </w:r>
            <w:proofErr w:type="gramEnd"/>
            <w:r w:rsidRPr="000A56DA">
              <w:rPr>
                <w:sz w:val="20"/>
                <w:szCs w:val="20"/>
              </w:rPr>
              <w:t>, doi: 10.1586/14760584.3.2.189</w:t>
            </w:r>
          </w:p>
        </w:tc>
      </w:tr>
      <w:tr w:rsidR="000E7449" w:rsidRPr="000A56DA" w14:paraId="1EEAE253" w14:textId="77777777" w:rsidTr="00A277F5">
        <w:tc>
          <w:tcPr>
            <w:tcW w:w="3300" w:type="dxa"/>
            <w:tcBorders>
              <w:left w:val="single" w:sz="24" w:space="0" w:color="000000"/>
              <w:bottom w:val="single" w:sz="4" w:space="0" w:color="000000"/>
            </w:tcBorders>
          </w:tcPr>
          <w:p w14:paraId="5BA48508" w14:textId="77777777" w:rsidR="000E7449" w:rsidRPr="000A56DA" w:rsidRDefault="000E7449" w:rsidP="00A277F5">
            <w:pPr>
              <w:tabs>
                <w:tab w:val="left" w:pos="447"/>
              </w:tabs>
              <w:rPr>
                <w:sz w:val="20"/>
                <w:szCs w:val="20"/>
              </w:rPr>
            </w:pPr>
            <w:r w:rsidRPr="000A56DA">
              <w:rPr>
                <w:b/>
                <w:sz w:val="20"/>
                <w:szCs w:val="20"/>
              </w:rPr>
              <w:t xml:space="preserve">5.6 </w:t>
            </w:r>
            <w:r w:rsidRPr="000A56DA">
              <w:rPr>
                <w:sz w:val="20"/>
                <w:szCs w:val="20"/>
              </w:rPr>
              <w:t>Please describe any other key information about the target pathogen or population that may inform benefit risk</w:t>
            </w:r>
          </w:p>
        </w:tc>
        <w:tc>
          <w:tcPr>
            <w:tcW w:w="2790" w:type="dxa"/>
            <w:tcBorders>
              <w:bottom w:val="single" w:sz="4" w:space="0" w:color="000000"/>
            </w:tcBorders>
          </w:tcPr>
          <w:p w14:paraId="5190732D" w14:textId="77777777" w:rsidR="000E7449" w:rsidRPr="000A56DA" w:rsidRDefault="000E7449" w:rsidP="00A277F5">
            <w:pPr>
              <w:rPr>
                <w:sz w:val="20"/>
                <w:szCs w:val="20"/>
              </w:rPr>
            </w:pPr>
            <w:r w:rsidRPr="000A56DA">
              <w:rPr>
                <w:sz w:val="20"/>
                <w:szCs w:val="20"/>
              </w:rPr>
              <w:t>No.</w:t>
            </w:r>
          </w:p>
        </w:tc>
        <w:tc>
          <w:tcPr>
            <w:tcW w:w="3330" w:type="dxa"/>
            <w:tcBorders>
              <w:bottom w:val="single" w:sz="4" w:space="0" w:color="000000"/>
            </w:tcBorders>
          </w:tcPr>
          <w:p w14:paraId="2D9F5513" w14:textId="77777777" w:rsidR="000E7449" w:rsidRPr="000A56DA" w:rsidRDefault="000E7449" w:rsidP="00A277F5">
            <w:pPr>
              <w:rPr>
                <w:sz w:val="20"/>
                <w:szCs w:val="20"/>
              </w:rPr>
            </w:pPr>
          </w:p>
        </w:tc>
        <w:tc>
          <w:tcPr>
            <w:tcW w:w="2790" w:type="dxa"/>
            <w:tcBorders>
              <w:bottom w:val="single" w:sz="4" w:space="0" w:color="000000"/>
              <w:right w:val="single" w:sz="24" w:space="0" w:color="000000"/>
            </w:tcBorders>
          </w:tcPr>
          <w:p w14:paraId="548F7791" w14:textId="77777777" w:rsidR="000E7449" w:rsidRPr="000A56DA" w:rsidRDefault="000E7449" w:rsidP="00A277F5">
            <w:pPr>
              <w:rPr>
                <w:sz w:val="20"/>
                <w:szCs w:val="20"/>
              </w:rPr>
            </w:pPr>
          </w:p>
        </w:tc>
      </w:tr>
      <w:tr w:rsidR="000E7449" w:rsidRPr="000A56DA" w14:paraId="58810C12" w14:textId="77777777" w:rsidTr="00A277F5">
        <w:tc>
          <w:tcPr>
            <w:tcW w:w="3300" w:type="dxa"/>
            <w:tcBorders>
              <w:top w:val="single" w:sz="24" w:space="0" w:color="000000"/>
              <w:left w:val="single" w:sz="24" w:space="0" w:color="000000"/>
              <w:bottom w:val="single" w:sz="24" w:space="0" w:color="000000"/>
            </w:tcBorders>
            <w:shd w:val="clear" w:color="auto" w:fill="FFFF99"/>
          </w:tcPr>
          <w:p w14:paraId="33F94C2A" w14:textId="77777777" w:rsidR="000E7449" w:rsidRPr="000A56DA" w:rsidRDefault="000E7449" w:rsidP="00A277F5">
            <w:pPr>
              <w:rPr>
                <w:b/>
                <w:sz w:val="20"/>
                <w:szCs w:val="20"/>
              </w:rPr>
            </w:pPr>
            <w:r w:rsidRPr="000A56DA">
              <w:rPr>
                <w:b/>
                <w:sz w:val="20"/>
                <w:szCs w:val="20"/>
              </w:rPr>
              <w:t>References</w:t>
            </w:r>
          </w:p>
        </w:tc>
        <w:tc>
          <w:tcPr>
            <w:tcW w:w="8910" w:type="dxa"/>
            <w:gridSpan w:val="3"/>
            <w:tcBorders>
              <w:top w:val="single" w:sz="24" w:space="0" w:color="000000"/>
              <w:bottom w:val="single" w:sz="24" w:space="0" w:color="000000"/>
              <w:right w:val="single" w:sz="24" w:space="0" w:color="000000"/>
            </w:tcBorders>
            <w:shd w:val="clear" w:color="auto" w:fill="FFFF99"/>
            <w:vAlign w:val="center"/>
          </w:tcPr>
          <w:p w14:paraId="7DEBC211" w14:textId="77777777" w:rsidR="000E7449" w:rsidRPr="000A56DA" w:rsidRDefault="000E7449" w:rsidP="00A277F5">
            <w:pPr>
              <w:jc w:val="center"/>
              <w:rPr>
                <w:b/>
                <w:sz w:val="20"/>
                <w:szCs w:val="20"/>
              </w:rPr>
            </w:pPr>
            <w:r w:rsidRPr="000A56DA">
              <w:rPr>
                <w:b/>
                <w:sz w:val="20"/>
                <w:szCs w:val="20"/>
              </w:rPr>
              <w:t>Information</w:t>
            </w:r>
          </w:p>
        </w:tc>
      </w:tr>
      <w:tr w:rsidR="000E7449" w:rsidRPr="000A56DA" w14:paraId="148F5CCC" w14:textId="77777777" w:rsidTr="00A277F5">
        <w:tc>
          <w:tcPr>
            <w:tcW w:w="3300" w:type="dxa"/>
            <w:tcBorders>
              <w:top w:val="single" w:sz="24" w:space="0" w:color="000000"/>
              <w:left w:val="single" w:sz="24" w:space="0" w:color="000000"/>
            </w:tcBorders>
          </w:tcPr>
          <w:p w14:paraId="69B8FF27" w14:textId="77777777" w:rsidR="000E7449" w:rsidRPr="000A56DA" w:rsidRDefault="000E7449" w:rsidP="00A277F5">
            <w:pPr>
              <w:rPr>
                <w:b/>
                <w:sz w:val="20"/>
                <w:szCs w:val="20"/>
              </w:rPr>
            </w:pPr>
            <w:r w:rsidRPr="000A56DA">
              <w:rPr>
                <w:b/>
                <w:sz w:val="20"/>
                <w:szCs w:val="20"/>
              </w:rPr>
              <w:t>1.</w:t>
            </w:r>
          </w:p>
        </w:tc>
        <w:tc>
          <w:tcPr>
            <w:tcW w:w="8910" w:type="dxa"/>
            <w:gridSpan w:val="3"/>
            <w:tcBorders>
              <w:top w:val="single" w:sz="24" w:space="0" w:color="000000"/>
              <w:right w:val="single" w:sz="24" w:space="0" w:color="000000"/>
            </w:tcBorders>
          </w:tcPr>
          <w:p w14:paraId="79217B98" w14:textId="77777777" w:rsidR="000E7449" w:rsidRPr="000A56DA" w:rsidRDefault="000E7449" w:rsidP="00A277F5">
            <w:pPr>
              <w:rPr>
                <w:sz w:val="20"/>
                <w:szCs w:val="20"/>
              </w:rPr>
            </w:pPr>
          </w:p>
        </w:tc>
      </w:tr>
      <w:tr w:rsidR="000E7449" w:rsidRPr="000A56DA" w14:paraId="02D63042" w14:textId="77777777" w:rsidTr="00A277F5">
        <w:tc>
          <w:tcPr>
            <w:tcW w:w="3300" w:type="dxa"/>
            <w:tcBorders>
              <w:left w:val="single" w:sz="24" w:space="0" w:color="000000"/>
            </w:tcBorders>
          </w:tcPr>
          <w:p w14:paraId="5AE7CB36" w14:textId="77777777" w:rsidR="000E7449" w:rsidRPr="000A56DA" w:rsidRDefault="000E7449" w:rsidP="00A277F5">
            <w:pPr>
              <w:rPr>
                <w:b/>
                <w:sz w:val="20"/>
                <w:szCs w:val="20"/>
              </w:rPr>
            </w:pPr>
            <w:r w:rsidRPr="000A56DA">
              <w:rPr>
                <w:b/>
                <w:sz w:val="20"/>
                <w:szCs w:val="20"/>
              </w:rPr>
              <w:t>2.</w:t>
            </w:r>
          </w:p>
        </w:tc>
        <w:tc>
          <w:tcPr>
            <w:tcW w:w="8910" w:type="dxa"/>
            <w:gridSpan w:val="3"/>
            <w:tcBorders>
              <w:right w:val="single" w:sz="24" w:space="0" w:color="000000"/>
            </w:tcBorders>
          </w:tcPr>
          <w:p w14:paraId="096BACF0" w14:textId="77777777" w:rsidR="000E7449" w:rsidRPr="000A56DA" w:rsidRDefault="000E7449" w:rsidP="00A277F5">
            <w:pPr>
              <w:rPr>
                <w:sz w:val="20"/>
                <w:szCs w:val="20"/>
              </w:rPr>
            </w:pPr>
          </w:p>
        </w:tc>
      </w:tr>
      <w:tr w:rsidR="000E7449" w:rsidRPr="000A56DA" w14:paraId="2ED6FDE1" w14:textId="77777777" w:rsidTr="00A277F5">
        <w:tc>
          <w:tcPr>
            <w:tcW w:w="3300" w:type="dxa"/>
            <w:tcBorders>
              <w:left w:val="single" w:sz="24" w:space="0" w:color="000000"/>
            </w:tcBorders>
          </w:tcPr>
          <w:p w14:paraId="6E0608E0" w14:textId="77777777" w:rsidR="000E7449" w:rsidRPr="000A56DA" w:rsidRDefault="000E7449" w:rsidP="00A277F5">
            <w:pPr>
              <w:rPr>
                <w:b/>
                <w:sz w:val="20"/>
                <w:szCs w:val="20"/>
              </w:rPr>
            </w:pPr>
            <w:r w:rsidRPr="000A56DA">
              <w:rPr>
                <w:b/>
                <w:sz w:val="20"/>
                <w:szCs w:val="20"/>
              </w:rPr>
              <w:t>3.</w:t>
            </w:r>
          </w:p>
        </w:tc>
        <w:tc>
          <w:tcPr>
            <w:tcW w:w="8910" w:type="dxa"/>
            <w:gridSpan w:val="3"/>
            <w:tcBorders>
              <w:right w:val="single" w:sz="24" w:space="0" w:color="000000"/>
            </w:tcBorders>
          </w:tcPr>
          <w:p w14:paraId="788F5C5B" w14:textId="77777777" w:rsidR="000E7449" w:rsidRPr="000A56DA" w:rsidRDefault="000E7449" w:rsidP="00A277F5">
            <w:pPr>
              <w:rPr>
                <w:sz w:val="20"/>
                <w:szCs w:val="20"/>
              </w:rPr>
            </w:pPr>
          </w:p>
        </w:tc>
      </w:tr>
      <w:tr w:rsidR="000E7449" w:rsidRPr="000A56DA" w14:paraId="6DA39AC1" w14:textId="77777777" w:rsidTr="00A277F5">
        <w:tc>
          <w:tcPr>
            <w:tcW w:w="3300" w:type="dxa"/>
            <w:tcBorders>
              <w:left w:val="single" w:sz="24" w:space="0" w:color="000000"/>
            </w:tcBorders>
          </w:tcPr>
          <w:p w14:paraId="08D66D18" w14:textId="77777777" w:rsidR="000E7449" w:rsidRPr="000A56DA" w:rsidRDefault="000E7449" w:rsidP="00A277F5">
            <w:pPr>
              <w:rPr>
                <w:b/>
                <w:sz w:val="20"/>
                <w:szCs w:val="20"/>
              </w:rPr>
            </w:pPr>
            <w:r w:rsidRPr="000A56DA">
              <w:rPr>
                <w:b/>
                <w:sz w:val="20"/>
                <w:szCs w:val="20"/>
              </w:rPr>
              <w:t>4.</w:t>
            </w:r>
          </w:p>
        </w:tc>
        <w:tc>
          <w:tcPr>
            <w:tcW w:w="8910" w:type="dxa"/>
            <w:gridSpan w:val="3"/>
            <w:tcBorders>
              <w:right w:val="single" w:sz="24" w:space="0" w:color="000000"/>
            </w:tcBorders>
          </w:tcPr>
          <w:p w14:paraId="2523E8B8" w14:textId="77777777" w:rsidR="000E7449" w:rsidRPr="000A56DA" w:rsidRDefault="000E7449" w:rsidP="00A277F5">
            <w:pPr>
              <w:rPr>
                <w:sz w:val="20"/>
                <w:szCs w:val="20"/>
              </w:rPr>
            </w:pPr>
          </w:p>
        </w:tc>
      </w:tr>
      <w:tr w:rsidR="000E7449" w:rsidRPr="000A56DA" w14:paraId="0AA114DD" w14:textId="77777777" w:rsidTr="00A277F5">
        <w:tc>
          <w:tcPr>
            <w:tcW w:w="3300" w:type="dxa"/>
            <w:tcBorders>
              <w:left w:val="single" w:sz="24" w:space="0" w:color="000000"/>
            </w:tcBorders>
          </w:tcPr>
          <w:p w14:paraId="3874DBFE" w14:textId="77777777" w:rsidR="000E7449" w:rsidRPr="000A56DA" w:rsidRDefault="000E7449" w:rsidP="00A277F5">
            <w:pPr>
              <w:rPr>
                <w:b/>
                <w:sz w:val="20"/>
                <w:szCs w:val="20"/>
              </w:rPr>
            </w:pPr>
            <w:r w:rsidRPr="000A56DA">
              <w:rPr>
                <w:b/>
                <w:sz w:val="20"/>
                <w:szCs w:val="20"/>
              </w:rPr>
              <w:t>5.</w:t>
            </w:r>
          </w:p>
        </w:tc>
        <w:tc>
          <w:tcPr>
            <w:tcW w:w="8910" w:type="dxa"/>
            <w:gridSpan w:val="3"/>
            <w:tcBorders>
              <w:right w:val="single" w:sz="24" w:space="0" w:color="000000"/>
            </w:tcBorders>
          </w:tcPr>
          <w:p w14:paraId="76287F1B" w14:textId="77777777" w:rsidR="000E7449" w:rsidRPr="000A56DA" w:rsidRDefault="000E7449" w:rsidP="00A277F5">
            <w:pPr>
              <w:rPr>
                <w:sz w:val="20"/>
                <w:szCs w:val="20"/>
              </w:rPr>
            </w:pPr>
          </w:p>
        </w:tc>
      </w:tr>
      <w:tr w:rsidR="000E7449" w:rsidRPr="000A56DA" w14:paraId="3909FBAD" w14:textId="77777777" w:rsidTr="00A277F5">
        <w:tc>
          <w:tcPr>
            <w:tcW w:w="3300" w:type="dxa"/>
            <w:tcBorders>
              <w:left w:val="single" w:sz="24" w:space="0" w:color="000000"/>
            </w:tcBorders>
          </w:tcPr>
          <w:p w14:paraId="60AA250B" w14:textId="77777777" w:rsidR="000E7449" w:rsidRPr="000A56DA" w:rsidRDefault="000E7449" w:rsidP="00A277F5">
            <w:pPr>
              <w:rPr>
                <w:b/>
                <w:sz w:val="20"/>
                <w:szCs w:val="20"/>
              </w:rPr>
            </w:pPr>
            <w:r w:rsidRPr="000A56DA">
              <w:rPr>
                <w:b/>
                <w:sz w:val="20"/>
                <w:szCs w:val="20"/>
              </w:rPr>
              <w:t>6.</w:t>
            </w:r>
          </w:p>
        </w:tc>
        <w:tc>
          <w:tcPr>
            <w:tcW w:w="8910" w:type="dxa"/>
            <w:gridSpan w:val="3"/>
            <w:tcBorders>
              <w:right w:val="single" w:sz="24" w:space="0" w:color="000000"/>
            </w:tcBorders>
          </w:tcPr>
          <w:p w14:paraId="7A5C1120" w14:textId="77777777" w:rsidR="000E7449" w:rsidRPr="000A56DA" w:rsidRDefault="000E7449" w:rsidP="00A277F5">
            <w:pPr>
              <w:rPr>
                <w:sz w:val="20"/>
                <w:szCs w:val="20"/>
              </w:rPr>
            </w:pPr>
          </w:p>
        </w:tc>
      </w:tr>
      <w:tr w:rsidR="000E7449" w:rsidRPr="000A56DA" w14:paraId="301B0956" w14:textId="77777777" w:rsidTr="00A277F5">
        <w:tc>
          <w:tcPr>
            <w:tcW w:w="3300" w:type="dxa"/>
            <w:tcBorders>
              <w:left w:val="single" w:sz="24" w:space="0" w:color="000000"/>
            </w:tcBorders>
          </w:tcPr>
          <w:p w14:paraId="4F08E9D9" w14:textId="77777777" w:rsidR="000E7449" w:rsidRPr="000A56DA" w:rsidRDefault="000E7449" w:rsidP="00A277F5">
            <w:pPr>
              <w:rPr>
                <w:b/>
                <w:sz w:val="20"/>
                <w:szCs w:val="20"/>
              </w:rPr>
            </w:pPr>
            <w:r w:rsidRPr="000A56DA">
              <w:rPr>
                <w:b/>
                <w:sz w:val="20"/>
                <w:szCs w:val="20"/>
              </w:rPr>
              <w:t>7.</w:t>
            </w:r>
          </w:p>
        </w:tc>
        <w:tc>
          <w:tcPr>
            <w:tcW w:w="8910" w:type="dxa"/>
            <w:gridSpan w:val="3"/>
            <w:tcBorders>
              <w:right w:val="single" w:sz="24" w:space="0" w:color="000000"/>
            </w:tcBorders>
          </w:tcPr>
          <w:p w14:paraId="2400070B" w14:textId="77777777" w:rsidR="000E7449" w:rsidRPr="000A56DA" w:rsidRDefault="000E7449" w:rsidP="00A277F5">
            <w:pPr>
              <w:rPr>
                <w:sz w:val="20"/>
                <w:szCs w:val="20"/>
              </w:rPr>
            </w:pPr>
          </w:p>
        </w:tc>
      </w:tr>
      <w:tr w:rsidR="000E7449" w:rsidRPr="000A56DA" w14:paraId="1B975DBA" w14:textId="77777777" w:rsidTr="00A277F5">
        <w:tc>
          <w:tcPr>
            <w:tcW w:w="3300" w:type="dxa"/>
            <w:tcBorders>
              <w:left w:val="single" w:sz="24" w:space="0" w:color="000000"/>
            </w:tcBorders>
          </w:tcPr>
          <w:p w14:paraId="18420801" w14:textId="77777777" w:rsidR="000E7449" w:rsidRPr="000A56DA" w:rsidRDefault="000E7449" w:rsidP="00A277F5">
            <w:pPr>
              <w:rPr>
                <w:b/>
                <w:sz w:val="20"/>
                <w:szCs w:val="20"/>
              </w:rPr>
            </w:pPr>
            <w:r w:rsidRPr="000A56DA">
              <w:rPr>
                <w:b/>
                <w:sz w:val="20"/>
                <w:szCs w:val="20"/>
              </w:rPr>
              <w:t>8.</w:t>
            </w:r>
          </w:p>
        </w:tc>
        <w:tc>
          <w:tcPr>
            <w:tcW w:w="8910" w:type="dxa"/>
            <w:gridSpan w:val="3"/>
            <w:tcBorders>
              <w:right w:val="single" w:sz="24" w:space="0" w:color="000000"/>
            </w:tcBorders>
          </w:tcPr>
          <w:p w14:paraId="3839C716" w14:textId="77777777" w:rsidR="000E7449" w:rsidRPr="000A56DA" w:rsidRDefault="000E7449" w:rsidP="00A277F5">
            <w:pPr>
              <w:rPr>
                <w:sz w:val="20"/>
                <w:szCs w:val="20"/>
              </w:rPr>
            </w:pPr>
          </w:p>
        </w:tc>
      </w:tr>
      <w:tr w:rsidR="000E7449" w:rsidRPr="000A56DA" w14:paraId="62D3F40E" w14:textId="77777777" w:rsidTr="00A277F5">
        <w:tc>
          <w:tcPr>
            <w:tcW w:w="3300" w:type="dxa"/>
            <w:tcBorders>
              <w:left w:val="single" w:sz="24" w:space="0" w:color="000000"/>
            </w:tcBorders>
          </w:tcPr>
          <w:p w14:paraId="18F36E08" w14:textId="77777777" w:rsidR="000E7449" w:rsidRPr="000A56DA" w:rsidRDefault="000E7449" w:rsidP="00A277F5">
            <w:pPr>
              <w:rPr>
                <w:b/>
                <w:sz w:val="20"/>
                <w:szCs w:val="20"/>
              </w:rPr>
            </w:pPr>
            <w:r w:rsidRPr="000A56DA">
              <w:rPr>
                <w:b/>
                <w:sz w:val="20"/>
                <w:szCs w:val="20"/>
              </w:rPr>
              <w:t>9.</w:t>
            </w:r>
          </w:p>
        </w:tc>
        <w:tc>
          <w:tcPr>
            <w:tcW w:w="8910" w:type="dxa"/>
            <w:gridSpan w:val="3"/>
            <w:tcBorders>
              <w:right w:val="single" w:sz="24" w:space="0" w:color="000000"/>
            </w:tcBorders>
          </w:tcPr>
          <w:p w14:paraId="4DD0EAFE" w14:textId="77777777" w:rsidR="000E7449" w:rsidRPr="000A56DA" w:rsidRDefault="000E7449" w:rsidP="00A277F5">
            <w:pPr>
              <w:rPr>
                <w:sz w:val="20"/>
                <w:szCs w:val="20"/>
              </w:rPr>
            </w:pPr>
          </w:p>
        </w:tc>
      </w:tr>
      <w:tr w:rsidR="000E7449" w:rsidRPr="000A56DA" w14:paraId="2A47B5BD" w14:textId="77777777" w:rsidTr="00A277F5">
        <w:tc>
          <w:tcPr>
            <w:tcW w:w="3300" w:type="dxa"/>
            <w:tcBorders>
              <w:left w:val="single" w:sz="24" w:space="0" w:color="000000"/>
              <w:bottom w:val="single" w:sz="24" w:space="0" w:color="000000"/>
            </w:tcBorders>
          </w:tcPr>
          <w:p w14:paraId="7846987F" w14:textId="77777777" w:rsidR="000E7449" w:rsidRPr="000A56DA" w:rsidRDefault="000E7449" w:rsidP="00A277F5">
            <w:pPr>
              <w:rPr>
                <w:b/>
                <w:sz w:val="20"/>
                <w:szCs w:val="20"/>
              </w:rPr>
            </w:pPr>
            <w:r w:rsidRPr="000A56DA">
              <w:rPr>
                <w:b/>
                <w:sz w:val="20"/>
                <w:szCs w:val="20"/>
              </w:rPr>
              <w:t>10.</w:t>
            </w:r>
          </w:p>
        </w:tc>
        <w:tc>
          <w:tcPr>
            <w:tcW w:w="8910" w:type="dxa"/>
            <w:gridSpan w:val="3"/>
            <w:tcBorders>
              <w:bottom w:val="single" w:sz="24" w:space="0" w:color="000000"/>
              <w:right w:val="single" w:sz="24" w:space="0" w:color="000000"/>
            </w:tcBorders>
          </w:tcPr>
          <w:p w14:paraId="4755310E" w14:textId="77777777" w:rsidR="000E7449" w:rsidRPr="000A56DA" w:rsidRDefault="000E7449" w:rsidP="00A277F5">
            <w:pPr>
              <w:rPr>
                <w:sz w:val="20"/>
                <w:szCs w:val="20"/>
              </w:rPr>
            </w:pPr>
          </w:p>
        </w:tc>
      </w:tr>
    </w:tbl>
    <w:p w14:paraId="336FBA0E" w14:textId="77777777" w:rsidR="001A146E" w:rsidRPr="000A56DA" w:rsidRDefault="001A146E">
      <w:pPr>
        <w:rPr>
          <w:sz w:val="20"/>
          <w:szCs w:val="20"/>
        </w:rPr>
      </w:pPr>
    </w:p>
    <w:sectPr w:rsidR="001A146E" w:rsidRPr="000A56DA" w:rsidSect="000A56DA">
      <w:pgSz w:w="12240" w:h="15840" w:orient="landscape"/>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657E"/>
    <w:multiLevelType w:val="multilevel"/>
    <w:tmpl w:val="C3F2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576FAE"/>
    <w:multiLevelType w:val="multilevel"/>
    <w:tmpl w:val="51A0F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B52078"/>
    <w:multiLevelType w:val="multilevel"/>
    <w:tmpl w:val="A202C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490BAF"/>
    <w:multiLevelType w:val="hybridMultilevel"/>
    <w:tmpl w:val="8176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D200B"/>
    <w:multiLevelType w:val="multilevel"/>
    <w:tmpl w:val="21D8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663E40"/>
    <w:multiLevelType w:val="multilevel"/>
    <w:tmpl w:val="BE5A1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41563C"/>
    <w:multiLevelType w:val="multilevel"/>
    <w:tmpl w:val="267CE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370794"/>
    <w:multiLevelType w:val="multilevel"/>
    <w:tmpl w:val="C3D20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0"/>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6E"/>
    <w:rsid w:val="00005400"/>
    <w:rsid w:val="000604F7"/>
    <w:rsid w:val="00061522"/>
    <w:rsid w:val="000A56DA"/>
    <w:rsid w:val="000B2AEB"/>
    <w:rsid w:val="000C6268"/>
    <w:rsid w:val="000E08A1"/>
    <w:rsid w:val="000E7449"/>
    <w:rsid w:val="00115021"/>
    <w:rsid w:val="001331B9"/>
    <w:rsid w:val="001355AE"/>
    <w:rsid w:val="00141480"/>
    <w:rsid w:val="00153B88"/>
    <w:rsid w:val="00166557"/>
    <w:rsid w:val="00171243"/>
    <w:rsid w:val="00184A32"/>
    <w:rsid w:val="0019568D"/>
    <w:rsid w:val="001A146E"/>
    <w:rsid w:val="001B44CC"/>
    <w:rsid w:val="00210190"/>
    <w:rsid w:val="00210790"/>
    <w:rsid w:val="0024280C"/>
    <w:rsid w:val="00266EC7"/>
    <w:rsid w:val="002A2EBC"/>
    <w:rsid w:val="002E2D80"/>
    <w:rsid w:val="003C03F0"/>
    <w:rsid w:val="003F340B"/>
    <w:rsid w:val="003F5FA8"/>
    <w:rsid w:val="00406D7E"/>
    <w:rsid w:val="00417691"/>
    <w:rsid w:val="00426F53"/>
    <w:rsid w:val="004334C3"/>
    <w:rsid w:val="00460DD5"/>
    <w:rsid w:val="00462BF2"/>
    <w:rsid w:val="00494EB3"/>
    <w:rsid w:val="00496BD2"/>
    <w:rsid w:val="004D2F56"/>
    <w:rsid w:val="00502CD9"/>
    <w:rsid w:val="00556019"/>
    <w:rsid w:val="00573210"/>
    <w:rsid w:val="005B0871"/>
    <w:rsid w:val="0062390C"/>
    <w:rsid w:val="006B797F"/>
    <w:rsid w:val="007760FA"/>
    <w:rsid w:val="007A66C5"/>
    <w:rsid w:val="008828F5"/>
    <w:rsid w:val="008A2E09"/>
    <w:rsid w:val="008D0E90"/>
    <w:rsid w:val="00902214"/>
    <w:rsid w:val="0090504A"/>
    <w:rsid w:val="009613E3"/>
    <w:rsid w:val="009A40D5"/>
    <w:rsid w:val="009B78E0"/>
    <w:rsid w:val="00A035DA"/>
    <w:rsid w:val="00A051FD"/>
    <w:rsid w:val="00A12B14"/>
    <w:rsid w:val="00A17695"/>
    <w:rsid w:val="00A303ED"/>
    <w:rsid w:val="00A475E6"/>
    <w:rsid w:val="00AA07AC"/>
    <w:rsid w:val="00AA678C"/>
    <w:rsid w:val="00AB58E3"/>
    <w:rsid w:val="00AC2A6C"/>
    <w:rsid w:val="00AC62BA"/>
    <w:rsid w:val="00AF46E1"/>
    <w:rsid w:val="00B50FAB"/>
    <w:rsid w:val="00B63643"/>
    <w:rsid w:val="00BB7B52"/>
    <w:rsid w:val="00C17764"/>
    <w:rsid w:val="00C55418"/>
    <w:rsid w:val="00C57C13"/>
    <w:rsid w:val="00C71DEC"/>
    <w:rsid w:val="00C82A8B"/>
    <w:rsid w:val="00CC073B"/>
    <w:rsid w:val="00CC0E5F"/>
    <w:rsid w:val="00D04611"/>
    <w:rsid w:val="00D346D3"/>
    <w:rsid w:val="00D37D9E"/>
    <w:rsid w:val="00D45FF4"/>
    <w:rsid w:val="00D71897"/>
    <w:rsid w:val="00DE0D23"/>
    <w:rsid w:val="00DE6636"/>
    <w:rsid w:val="00E40B9B"/>
    <w:rsid w:val="00E52F09"/>
    <w:rsid w:val="00E61246"/>
    <w:rsid w:val="00E726FC"/>
    <w:rsid w:val="00ED1E3C"/>
    <w:rsid w:val="00EF30FD"/>
    <w:rsid w:val="00F81E9E"/>
    <w:rsid w:val="00F9042B"/>
    <w:rsid w:val="00F95AF8"/>
    <w:rsid w:val="00FD2483"/>
    <w:rsid w:val="00FF7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15DF"/>
  <w15:docId w15:val="{4DC865E0-AF1F-4A42-979C-9836F89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61AE1"/>
    <w:pPr>
      <w:ind w:left="720"/>
      <w:contextualSpacing/>
    </w:pPr>
  </w:style>
  <w:style w:type="paragraph" w:styleId="BalloonText">
    <w:name w:val="Balloon Text"/>
    <w:basedOn w:val="Normal"/>
    <w:link w:val="BalloonTextChar"/>
    <w:uiPriority w:val="99"/>
    <w:semiHidden/>
    <w:unhideWhenUsed/>
    <w:rsid w:val="0066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E1"/>
    <w:rPr>
      <w:rFonts w:ascii="Segoe UI" w:hAnsi="Segoe UI" w:cs="Segoe UI"/>
      <w:sz w:val="18"/>
      <w:szCs w:val="18"/>
    </w:rPr>
  </w:style>
  <w:style w:type="character" w:styleId="CommentReference">
    <w:name w:val="annotation reference"/>
    <w:basedOn w:val="DefaultParagraphFont"/>
    <w:uiPriority w:val="99"/>
    <w:semiHidden/>
    <w:unhideWhenUsed/>
    <w:rsid w:val="00E60672"/>
    <w:rPr>
      <w:sz w:val="16"/>
      <w:szCs w:val="16"/>
    </w:rPr>
  </w:style>
  <w:style w:type="paragraph" w:styleId="CommentText">
    <w:name w:val="annotation text"/>
    <w:basedOn w:val="Normal"/>
    <w:link w:val="CommentTextChar"/>
    <w:uiPriority w:val="99"/>
    <w:semiHidden/>
    <w:unhideWhenUsed/>
    <w:rsid w:val="00E60672"/>
    <w:rPr>
      <w:sz w:val="20"/>
      <w:szCs w:val="20"/>
    </w:rPr>
  </w:style>
  <w:style w:type="character" w:customStyle="1" w:styleId="CommentTextChar">
    <w:name w:val="Comment Text Char"/>
    <w:basedOn w:val="DefaultParagraphFont"/>
    <w:link w:val="CommentText"/>
    <w:uiPriority w:val="99"/>
    <w:semiHidden/>
    <w:rsid w:val="00E60672"/>
    <w:rPr>
      <w:sz w:val="20"/>
      <w:szCs w:val="20"/>
    </w:rPr>
  </w:style>
  <w:style w:type="paragraph" w:styleId="CommentSubject">
    <w:name w:val="annotation subject"/>
    <w:basedOn w:val="CommentText"/>
    <w:next w:val="CommentText"/>
    <w:link w:val="CommentSubjectChar"/>
    <w:uiPriority w:val="99"/>
    <w:semiHidden/>
    <w:unhideWhenUsed/>
    <w:rsid w:val="00E60672"/>
    <w:rPr>
      <w:b/>
      <w:bCs/>
    </w:rPr>
  </w:style>
  <w:style w:type="character" w:customStyle="1" w:styleId="CommentSubjectChar">
    <w:name w:val="Comment Subject Char"/>
    <w:basedOn w:val="CommentTextChar"/>
    <w:link w:val="CommentSubject"/>
    <w:uiPriority w:val="99"/>
    <w:semiHidden/>
    <w:rsid w:val="00E60672"/>
    <w:rPr>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A07AC"/>
    <w:rPr>
      <w:color w:val="0000FF" w:themeColor="hyperlink"/>
      <w:u w:val="single"/>
    </w:rPr>
  </w:style>
  <w:style w:type="character" w:styleId="UnresolvedMention">
    <w:name w:val="Unresolved Mention"/>
    <w:basedOn w:val="DefaultParagraphFont"/>
    <w:uiPriority w:val="99"/>
    <w:semiHidden/>
    <w:unhideWhenUsed/>
    <w:rsid w:val="00AA07AC"/>
    <w:rPr>
      <w:color w:val="605E5C"/>
      <w:shd w:val="clear" w:color="auto" w:fill="E1DFDD"/>
    </w:rPr>
  </w:style>
  <w:style w:type="paragraph" w:styleId="NormalWeb">
    <w:name w:val="Normal (Web)"/>
    <w:basedOn w:val="Normal"/>
    <w:uiPriority w:val="99"/>
    <w:semiHidden/>
    <w:unhideWhenUsed/>
    <w:rsid w:val="00573210"/>
    <w:pPr>
      <w:spacing w:before="100" w:beforeAutospacing="1" w:after="100" w:afterAutospacing="1"/>
    </w:pPr>
    <w:rPr>
      <w:rFonts w:eastAsia="Times New Roman"/>
      <w:lang w:eastAsia="zh-TW"/>
    </w:rPr>
  </w:style>
  <w:style w:type="character" w:styleId="FollowedHyperlink">
    <w:name w:val="FollowedHyperlink"/>
    <w:basedOn w:val="DefaultParagraphFont"/>
    <w:uiPriority w:val="99"/>
    <w:semiHidden/>
    <w:unhideWhenUsed/>
    <w:rsid w:val="003C0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04239">
      <w:bodyDiv w:val="1"/>
      <w:marLeft w:val="0"/>
      <w:marRight w:val="0"/>
      <w:marTop w:val="0"/>
      <w:marBottom w:val="0"/>
      <w:divBdr>
        <w:top w:val="none" w:sz="0" w:space="0" w:color="auto"/>
        <w:left w:val="none" w:sz="0" w:space="0" w:color="auto"/>
        <w:bottom w:val="none" w:sz="0" w:space="0" w:color="auto"/>
        <w:right w:val="none" w:sz="0" w:space="0" w:color="auto"/>
      </w:divBdr>
    </w:div>
    <w:div w:id="1923752668">
      <w:bodyDiv w:val="1"/>
      <w:marLeft w:val="0"/>
      <w:marRight w:val="0"/>
      <w:marTop w:val="0"/>
      <w:marBottom w:val="0"/>
      <w:divBdr>
        <w:top w:val="none" w:sz="0" w:space="0" w:color="auto"/>
        <w:left w:val="none" w:sz="0" w:space="0" w:color="auto"/>
        <w:bottom w:val="none" w:sz="0" w:space="0" w:color="auto"/>
        <w:right w:val="none" w:sz="0" w:space="0" w:color="auto"/>
      </w:divBdr>
      <w:divsChild>
        <w:div w:id="1935942178">
          <w:marLeft w:val="0"/>
          <w:marRight w:val="0"/>
          <w:marTop w:val="225"/>
          <w:marBottom w:val="225"/>
          <w:divBdr>
            <w:top w:val="none" w:sz="0" w:space="0" w:color="auto"/>
            <w:left w:val="none" w:sz="0" w:space="0" w:color="auto"/>
            <w:bottom w:val="none" w:sz="0" w:space="0" w:color="auto"/>
            <w:right w:val="none" w:sz="0" w:space="0" w:color="auto"/>
          </w:divBdr>
          <w:divsChild>
            <w:div w:id="1321228254">
              <w:marLeft w:val="0"/>
              <w:marRight w:val="0"/>
              <w:marTop w:val="0"/>
              <w:marBottom w:val="0"/>
              <w:divBdr>
                <w:top w:val="none" w:sz="0" w:space="0" w:color="auto"/>
                <w:left w:val="none" w:sz="0" w:space="0" w:color="auto"/>
                <w:bottom w:val="none" w:sz="0" w:space="0" w:color="auto"/>
                <w:right w:val="none" w:sz="0" w:space="0" w:color="auto"/>
              </w:divBdr>
              <w:divsChild>
                <w:div w:id="387799151">
                  <w:marLeft w:val="0"/>
                  <w:marRight w:val="0"/>
                  <w:marTop w:val="0"/>
                  <w:marBottom w:val="0"/>
                  <w:divBdr>
                    <w:top w:val="none" w:sz="0" w:space="0" w:color="auto"/>
                    <w:left w:val="none" w:sz="0" w:space="0" w:color="auto"/>
                    <w:bottom w:val="none" w:sz="0" w:space="0" w:color="auto"/>
                    <w:right w:val="none" w:sz="0" w:space="0" w:color="auto"/>
                  </w:divBdr>
                  <w:divsChild>
                    <w:div w:id="18955847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464813856">
          <w:marLeft w:val="0"/>
          <w:marRight w:val="0"/>
          <w:marTop w:val="225"/>
          <w:marBottom w:val="225"/>
          <w:divBdr>
            <w:top w:val="none" w:sz="0" w:space="0" w:color="auto"/>
            <w:left w:val="none" w:sz="0" w:space="0" w:color="auto"/>
            <w:bottom w:val="none" w:sz="0" w:space="0" w:color="auto"/>
            <w:right w:val="none" w:sz="0" w:space="0" w:color="auto"/>
          </w:divBdr>
          <w:divsChild>
            <w:div w:id="1838227150">
              <w:marLeft w:val="0"/>
              <w:marRight w:val="0"/>
              <w:marTop w:val="0"/>
              <w:marBottom w:val="0"/>
              <w:divBdr>
                <w:top w:val="none" w:sz="0" w:space="0" w:color="auto"/>
                <w:left w:val="none" w:sz="0" w:space="0" w:color="auto"/>
                <w:bottom w:val="none" w:sz="0" w:space="0" w:color="auto"/>
                <w:right w:val="none" w:sz="0" w:space="0" w:color="auto"/>
              </w:divBdr>
              <w:divsChild>
                <w:div w:id="19873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mediacentre/factsheets/fs179/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vhf/lassa/pdf/factshee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hfc.org/lassa_fever" TargetMode="External"/><Relationship Id="rId5" Type="http://schemas.openxmlformats.org/officeDocument/2006/relationships/numbering" Target="numbering.xml"/><Relationship Id="rId15" Type="http://schemas.openxmlformats.org/officeDocument/2006/relationships/hyperlink" Target="http://www.who.int/mediacentre/factsheets/fs179/en" TargetMode="External"/><Relationship Id="rId10" Type="http://schemas.openxmlformats.org/officeDocument/2006/relationships/hyperlink" Target="http://www.who.int/mediacentre/factsheets/fs179/en" TargetMode="External"/><Relationship Id="rId4" Type="http://schemas.openxmlformats.org/officeDocument/2006/relationships/customXml" Target="../customXml/item4.xml"/><Relationship Id="rId9" Type="http://schemas.openxmlformats.org/officeDocument/2006/relationships/hyperlink" Target="https://www.cdc.gov/vhf/lassa/pdf/factsheet.pdf" TargetMode="External"/><Relationship Id="rId14" Type="http://schemas.openxmlformats.org/officeDocument/2006/relationships/hyperlink" Target="https://www.cdc.gov/vhf/lassa/pdf/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nzYW9R2urXvmFf6rWY3WWm5kew==">AMUW2mWEiojBg+7k0LQFUXfVZOV3KZCpEKvJAzkP47dmQ5yWKztBl1gqHVtMgkctWe+6DJpLh4EVOMqIchedyfrfJ0nQFYcT96/HQi5ay3VWyBbhKAV/Je7qL7dhBxGwivlXMbIdx0epT1hFVNoPgoPDJ1n9xZRhbnjC6c/XJhzkGQgP6RH4hoU=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125C5F14FF4D6478C1FC49F317856DF" ma:contentTypeVersion="11" ma:contentTypeDescription="Crear nuevo documento." ma:contentTypeScope="" ma:versionID="dd78aa72d59335ddd8b43195383707f6">
  <xsd:schema xmlns:xsd="http://www.w3.org/2001/XMLSchema" xmlns:xs="http://www.w3.org/2001/XMLSchema" xmlns:p="http://schemas.microsoft.com/office/2006/metadata/properties" xmlns:ns2="cd3aa6b3-72e6-46d8-814b-d2ef3ba1625b" xmlns:ns3="d2430cc8-b339-4939-b2a0-1336e147faf9" targetNamespace="http://schemas.microsoft.com/office/2006/metadata/properties" ma:root="true" ma:fieldsID="23d350f07bc58077003643bd9c9ae176" ns2:_="" ns3:_="">
    <xsd:import namespace="cd3aa6b3-72e6-46d8-814b-d2ef3ba1625b"/>
    <xsd:import namespace="d2430cc8-b339-4939-b2a0-1336e147fa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aa6b3-72e6-46d8-814b-d2ef3ba16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30cc8-b339-4939-b2a0-1336e147faf9"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AB6F5A-9741-4ACD-9D32-03A24645925D}">
  <ds:schemaRefs>
    <ds:schemaRef ds:uri="http://schemas.microsoft.com/sharepoint/v3/contenttype/forms"/>
  </ds:schemaRefs>
</ds:datastoreItem>
</file>

<file path=customXml/itemProps3.xml><?xml version="1.0" encoding="utf-8"?>
<ds:datastoreItem xmlns:ds="http://schemas.openxmlformats.org/officeDocument/2006/customXml" ds:itemID="{C8F20EDC-6683-487F-8077-50B884AF9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3F620-33B0-47AC-8E5D-A0DEB81FD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aa6b3-72e6-46d8-814b-d2ef3ba1625b"/>
    <ds:schemaRef ds:uri="d2430cc8-b339-4939-b2a0-1336e147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Chen</dc:creator>
  <cp:lastModifiedBy>Smith, Emily</cp:lastModifiedBy>
  <cp:revision>112</cp:revision>
  <dcterms:created xsi:type="dcterms:W3CDTF">2020-09-23T14:03:00Z</dcterms:created>
  <dcterms:modified xsi:type="dcterms:W3CDTF">2020-10-26T21:08:00Z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0x010100E125C5F14FF4D6478C1FC49F317856DF</vt:lpwstr>
  </property>
</Properties>
</file>