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0"/>
        <w:tblW w:w="140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977"/>
        <w:gridCol w:w="3674"/>
        <w:gridCol w:w="3420"/>
      </w:tblGrid>
      <w:tr w:rsidR="001A146E" w14:paraId="5AF7A28A" w14:textId="77777777">
        <w:tc>
          <w:tcPr>
            <w:tcW w:w="14040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FFFF"/>
            <w:vAlign w:val="center"/>
          </w:tcPr>
          <w:p w14:paraId="506E15C5" w14:textId="77777777" w:rsidR="001A146E" w:rsidRDefault="00496BD2" w:rsidP="00496BD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Brighton Collaboration Viral Vector Vaccines Safety Working Group (V3SWG)</w:t>
            </w:r>
          </w:p>
          <w:p w14:paraId="2A460341" w14:textId="77777777" w:rsidR="001A146E" w:rsidRDefault="00496BD2" w:rsidP="00496BD2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Standardized Template V2.1 for Collection of Key Information for Risk Assessment of Viral Vaccine Vector Candidates</w:t>
            </w:r>
          </w:p>
        </w:tc>
      </w:tr>
      <w:tr w:rsidR="001A146E" w14:paraId="3C88D8EC" w14:textId="77777777">
        <w:tc>
          <w:tcPr>
            <w:tcW w:w="3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99"/>
          </w:tcPr>
          <w:p w14:paraId="7F1F8C88" w14:textId="77777777" w:rsidR="001A146E" w:rsidRDefault="00496BD2">
            <w:pPr>
              <w:tabs>
                <w:tab w:val="left" w:pos="447"/>
              </w:tabs>
              <w:rPr>
                <w:b/>
                <w:sz w:val="22"/>
                <w:szCs w:val="22"/>
              </w:rPr>
            </w:pPr>
            <w:r>
              <w:rPr>
                <w:b/>
              </w:rPr>
              <w:t>5. Target Pathogen and Population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99"/>
          </w:tcPr>
          <w:p w14:paraId="785F2B40" w14:textId="77777777" w:rsidR="001A146E" w:rsidRDefault="00496BD2">
            <w:pPr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367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99"/>
          </w:tcPr>
          <w:p w14:paraId="760B2969" w14:textId="77777777" w:rsidR="001A146E" w:rsidRDefault="00496BD2">
            <w:pPr>
              <w:rPr>
                <w:b/>
              </w:rPr>
            </w:pPr>
            <w:r>
              <w:rPr>
                <w:b/>
              </w:rPr>
              <w:t>Comments/Concerns</w:t>
            </w:r>
          </w:p>
        </w:tc>
        <w:tc>
          <w:tcPr>
            <w:tcW w:w="342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99"/>
          </w:tcPr>
          <w:p w14:paraId="2540A864" w14:textId="77777777" w:rsidR="001A146E" w:rsidRDefault="00496BD2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Reference(s)</w:t>
            </w:r>
          </w:p>
        </w:tc>
      </w:tr>
      <w:tr w:rsidR="001A146E" w14:paraId="0B7CEB5E" w14:textId="77777777">
        <w:tc>
          <w:tcPr>
            <w:tcW w:w="396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14:paraId="68F6B258" w14:textId="77777777" w:rsidR="001A146E" w:rsidRDefault="00496BD2">
            <w:pPr>
              <w:tabs>
                <w:tab w:val="left" w:pos="447"/>
              </w:tabs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5.1 </w:t>
            </w:r>
            <w:r>
              <w:rPr>
                <w:color w:val="000000"/>
                <w:sz w:val="22"/>
                <w:szCs w:val="22"/>
              </w:rPr>
              <w:t>What is the target pathogen?</w:t>
            </w:r>
          </w:p>
        </w:tc>
        <w:tc>
          <w:tcPr>
            <w:tcW w:w="2977" w:type="dxa"/>
            <w:tcBorders>
              <w:top w:val="single" w:sz="24" w:space="0" w:color="000000"/>
              <w:bottom w:val="single" w:sz="4" w:space="0" w:color="000000"/>
            </w:tcBorders>
          </w:tcPr>
          <w:p w14:paraId="5B24C74A" w14:textId="0993F67C" w:rsidR="001A146E" w:rsidRPr="00AE4350" w:rsidRDefault="000B1816">
            <w:pPr>
              <w:rPr>
                <w:sz w:val="18"/>
                <w:szCs w:val="18"/>
              </w:rPr>
            </w:pPr>
            <w:r w:rsidRPr="00AE4350">
              <w:rPr>
                <w:sz w:val="18"/>
                <w:szCs w:val="18"/>
              </w:rPr>
              <w:t>SARS-CoV-2</w:t>
            </w:r>
          </w:p>
        </w:tc>
        <w:tc>
          <w:tcPr>
            <w:tcW w:w="3674" w:type="dxa"/>
            <w:tcBorders>
              <w:top w:val="single" w:sz="24" w:space="0" w:color="000000"/>
              <w:bottom w:val="single" w:sz="4" w:space="0" w:color="000000"/>
            </w:tcBorders>
          </w:tcPr>
          <w:p w14:paraId="2CFE3C3F" w14:textId="17191D71" w:rsidR="001A146E" w:rsidRPr="00F42559" w:rsidRDefault="00AC729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C729E">
              <w:rPr>
                <w:color w:val="000000"/>
                <w:sz w:val="18"/>
                <w:szCs w:val="18"/>
                <w:shd w:val="clear" w:color="auto" w:fill="FFFFFF"/>
              </w:rPr>
              <w:t xml:space="preserve">SARS-CoV-2 </w:t>
            </w:r>
            <w:r w:rsidR="00AE4350" w:rsidRPr="00AC729E">
              <w:rPr>
                <w:color w:val="000000"/>
                <w:sz w:val="18"/>
                <w:szCs w:val="18"/>
                <w:shd w:val="clear" w:color="auto" w:fill="FFFFFF"/>
              </w:rPr>
              <w:t>belongs to the family </w:t>
            </w:r>
            <w:proofErr w:type="spellStart"/>
            <w:r w:rsidR="00AE4350" w:rsidRPr="00AC729E">
              <w:rPr>
                <w:rStyle w:val="Emphasis"/>
                <w:color w:val="000000"/>
                <w:sz w:val="18"/>
                <w:szCs w:val="18"/>
                <w:shd w:val="clear" w:color="auto" w:fill="FFFFFF"/>
              </w:rPr>
              <w:t>Coronaviridae</w:t>
            </w:r>
            <w:proofErr w:type="spellEnd"/>
            <w:r w:rsidR="00AE4350" w:rsidRPr="00AC729E">
              <w:rPr>
                <w:color w:val="000000"/>
                <w:sz w:val="18"/>
                <w:szCs w:val="18"/>
                <w:shd w:val="clear" w:color="auto" w:fill="FFFFFF"/>
              </w:rPr>
              <w:t>, genus </w:t>
            </w:r>
            <w:proofErr w:type="spellStart"/>
            <w:r w:rsidR="00AE4350" w:rsidRPr="00AC729E">
              <w:rPr>
                <w:rStyle w:val="Emphasis"/>
                <w:color w:val="000000"/>
                <w:sz w:val="18"/>
                <w:szCs w:val="18"/>
                <w:shd w:val="clear" w:color="auto" w:fill="FFFFFF"/>
              </w:rPr>
              <w:t>Betacoronavirus</w:t>
            </w:r>
            <w:proofErr w:type="spellEnd"/>
            <w:r w:rsidR="00AE4350" w:rsidRPr="00AC729E">
              <w:rPr>
                <w:color w:val="000000"/>
                <w:sz w:val="18"/>
                <w:szCs w:val="18"/>
                <w:shd w:val="clear" w:color="auto" w:fill="FFFFFF"/>
              </w:rPr>
              <w:t>, and subgenus </w:t>
            </w:r>
            <w:proofErr w:type="spellStart"/>
            <w:r w:rsidR="00AE4350" w:rsidRPr="00AC729E">
              <w:rPr>
                <w:rStyle w:val="Emphasis"/>
                <w:color w:val="000000"/>
                <w:sz w:val="18"/>
                <w:szCs w:val="18"/>
                <w:shd w:val="clear" w:color="auto" w:fill="FFFFFF"/>
              </w:rPr>
              <w:t>Sarbecovirus</w:t>
            </w:r>
            <w:proofErr w:type="spellEnd"/>
            <w:r w:rsidR="00AE4350" w:rsidRPr="00AC729E">
              <w:rPr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AC729E">
              <w:rPr>
                <w:color w:val="000000"/>
                <w:sz w:val="18"/>
                <w:szCs w:val="18"/>
                <w:shd w:val="clear" w:color="auto" w:fill="FFFFFF"/>
              </w:rPr>
              <w:t xml:space="preserve">The virus is similar to </w:t>
            </w:r>
            <w:proofErr w:type="spellStart"/>
            <w:r w:rsidR="00DA0973">
              <w:rPr>
                <w:color w:val="000000"/>
                <w:sz w:val="18"/>
                <w:szCs w:val="18"/>
                <w:shd w:val="clear" w:color="auto" w:fill="FFFFFF"/>
              </w:rPr>
              <w:t>beta</w:t>
            </w:r>
            <w:r w:rsidRPr="00AC729E">
              <w:rPr>
                <w:color w:val="000000"/>
                <w:sz w:val="18"/>
                <w:szCs w:val="18"/>
                <w:shd w:val="clear" w:color="auto" w:fill="FFFFFF"/>
              </w:rPr>
              <w:t>coronavirus</w:t>
            </w:r>
            <w:proofErr w:type="spellEnd"/>
            <w:r w:rsidRPr="00AC729E">
              <w:rPr>
                <w:color w:val="000000"/>
                <w:sz w:val="18"/>
                <w:szCs w:val="18"/>
                <w:shd w:val="clear" w:color="auto" w:fill="FFFFFF"/>
              </w:rPr>
              <w:t xml:space="preserve"> detected in bats,</w:t>
            </w:r>
            <w:r w:rsidR="00D002D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C729E">
              <w:rPr>
                <w:color w:val="000000"/>
                <w:sz w:val="18"/>
                <w:szCs w:val="18"/>
                <w:shd w:val="clear" w:color="auto" w:fill="FFFFFF"/>
              </w:rPr>
              <w:t xml:space="preserve">sharing </w:t>
            </w:r>
            <w:r w:rsidR="00AE4350" w:rsidRPr="00AC729E">
              <w:rPr>
                <w:color w:val="000000"/>
                <w:sz w:val="18"/>
                <w:szCs w:val="18"/>
                <w:shd w:val="clear" w:color="auto" w:fill="FFFFFF"/>
              </w:rPr>
              <w:t>96.3%</w:t>
            </w:r>
            <w:r w:rsidRPr="00AC729E">
              <w:rPr>
                <w:color w:val="000000"/>
                <w:sz w:val="18"/>
                <w:szCs w:val="18"/>
                <w:shd w:val="clear" w:color="auto" w:fill="FFFFFF"/>
              </w:rPr>
              <w:t xml:space="preserve"> sequence identity to the </w:t>
            </w:r>
            <w:proofErr w:type="spellStart"/>
            <w:r w:rsidRPr="00AC729E">
              <w:rPr>
                <w:color w:val="000000"/>
                <w:sz w:val="18"/>
                <w:szCs w:val="18"/>
                <w:shd w:val="clear" w:color="auto" w:fill="FFFFFF"/>
              </w:rPr>
              <w:t>BetaCoV</w:t>
            </w:r>
            <w:proofErr w:type="spellEnd"/>
            <w:r w:rsidRPr="00AC729E">
              <w:rPr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AE4350" w:rsidRPr="00AC729E">
              <w:rPr>
                <w:color w:val="000000"/>
                <w:sz w:val="18"/>
                <w:szCs w:val="18"/>
                <w:shd w:val="clear" w:color="auto" w:fill="FFFFFF"/>
              </w:rPr>
              <w:t>bat</w:t>
            </w:r>
            <w:r w:rsidRPr="00AC729E">
              <w:rPr>
                <w:color w:val="000000"/>
                <w:sz w:val="18"/>
                <w:szCs w:val="18"/>
                <w:shd w:val="clear" w:color="auto" w:fill="FFFFFF"/>
              </w:rPr>
              <w:t>/Yunnan/RaTG13/2013 genome, a coronavirus isolated from an intermediate horseshoe bat (</w:t>
            </w:r>
            <w:r w:rsidRPr="00AC729E">
              <w:rPr>
                <w:rStyle w:val="Emphasis"/>
                <w:color w:val="000000"/>
                <w:sz w:val="18"/>
                <w:szCs w:val="18"/>
                <w:shd w:val="clear" w:color="auto" w:fill="FFFFFF"/>
              </w:rPr>
              <w:t xml:space="preserve">Rhinolophus </w:t>
            </w:r>
            <w:proofErr w:type="spellStart"/>
            <w:r w:rsidRPr="00AC729E">
              <w:rPr>
                <w:rStyle w:val="Emphasis"/>
                <w:color w:val="000000"/>
                <w:sz w:val="18"/>
                <w:szCs w:val="18"/>
                <w:shd w:val="clear" w:color="auto" w:fill="FFFFFF"/>
              </w:rPr>
              <w:t>affinis</w:t>
            </w:r>
            <w:proofErr w:type="spellEnd"/>
            <w:r w:rsidRPr="00AC729E">
              <w:rPr>
                <w:color w:val="000000"/>
                <w:sz w:val="18"/>
                <w:szCs w:val="18"/>
                <w:shd w:val="clear" w:color="auto" w:fill="FFFFFF"/>
              </w:rPr>
              <w:t>) in China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420" w:type="dxa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05A18FA" w14:textId="4543BCA3" w:rsidR="001A146E" w:rsidRPr="00DA0973" w:rsidRDefault="00F11695">
            <w:pPr>
              <w:rPr>
                <w:sz w:val="18"/>
                <w:szCs w:val="18"/>
              </w:rPr>
            </w:pPr>
            <w:r w:rsidRPr="00DA0973">
              <w:rPr>
                <w:color w:val="000000"/>
                <w:sz w:val="18"/>
                <w:szCs w:val="18"/>
                <w:shd w:val="clear" w:color="auto" w:fill="FFFFFF"/>
              </w:rPr>
              <w:t xml:space="preserve">Zhou P. </w:t>
            </w:r>
            <w:r w:rsidRPr="00DA0973">
              <w:rPr>
                <w:color w:val="000000"/>
                <w:sz w:val="18"/>
                <w:szCs w:val="18"/>
              </w:rPr>
              <w:t>Nature </w:t>
            </w:r>
            <w:r w:rsidRPr="00DA0973">
              <w:rPr>
                <w:color w:val="000000"/>
                <w:sz w:val="18"/>
                <w:szCs w:val="18"/>
                <w:shd w:val="clear" w:color="auto" w:fill="FFFFFF"/>
              </w:rPr>
              <w:t>2020;</w:t>
            </w:r>
            <w:r w:rsidRPr="00DA0973">
              <w:rPr>
                <w:color w:val="000000"/>
                <w:sz w:val="18"/>
                <w:szCs w:val="18"/>
              </w:rPr>
              <w:t>579</w:t>
            </w:r>
            <w:r w:rsidRPr="00DA0973">
              <w:rPr>
                <w:color w:val="000000"/>
                <w:sz w:val="18"/>
                <w:szCs w:val="18"/>
                <w:shd w:val="clear" w:color="auto" w:fill="FFFFFF"/>
              </w:rPr>
              <w:t xml:space="preserve">:270, </w:t>
            </w:r>
            <w:proofErr w:type="spellStart"/>
            <w:r w:rsidRPr="00DA0973">
              <w:rPr>
                <w:color w:val="000000"/>
                <w:sz w:val="18"/>
                <w:szCs w:val="18"/>
                <w:shd w:val="clear" w:color="auto" w:fill="FFFFFF"/>
              </w:rPr>
              <w:t>doi</w:t>
            </w:r>
            <w:proofErr w:type="spellEnd"/>
            <w:r w:rsidRPr="00DA0973">
              <w:rPr>
                <w:color w:val="000000"/>
                <w:sz w:val="18"/>
                <w:szCs w:val="18"/>
                <w:shd w:val="clear" w:color="auto" w:fill="FFFFFF"/>
              </w:rPr>
              <w:t>: 10.1038/s41586-020-2012-7</w:t>
            </w:r>
          </w:p>
        </w:tc>
      </w:tr>
      <w:tr w:rsidR="001A146E" w14:paraId="0A29C4EB" w14:textId="77777777">
        <w:tc>
          <w:tcPr>
            <w:tcW w:w="3969" w:type="dxa"/>
            <w:tcBorders>
              <w:left w:val="single" w:sz="24" w:space="0" w:color="000000"/>
              <w:bottom w:val="single" w:sz="4" w:space="0" w:color="000000"/>
            </w:tcBorders>
          </w:tcPr>
          <w:p w14:paraId="525E1FA2" w14:textId="77777777" w:rsidR="001A146E" w:rsidRDefault="00496BD2">
            <w:pPr>
              <w:tabs>
                <w:tab w:val="left" w:pos="447"/>
              </w:tabs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5.2 </w:t>
            </w:r>
            <w:r>
              <w:rPr>
                <w:sz w:val="22"/>
                <w:szCs w:val="22"/>
              </w:rPr>
              <w:t>What are the disease manifestations caused by the target pathogen in humans, for the following categories: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7FF06350" w14:textId="77777777" w:rsidR="001A146E" w:rsidRDefault="001A146E"/>
        </w:tc>
        <w:tc>
          <w:tcPr>
            <w:tcW w:w="3674" w:type="dxa"/>
            <w:tcBorders>
              <w:bottom w:val="single" w:sz="4" w:space="0" w:color="000000"/>
            </w:tcBorders>
          </w:tcPr>
          <w:p w14:paraId="441EEF9F" w14:textId="77777777" w:rsidR="001A146E" w:rsidRDefault="001A146E"/>
        </w:tc>
        <w:tc>
          <w:tcPr>
            <w:tcW w:w="3420" w:type="dxa"/>
            <w:tcBorders>
              <w:bottom w:val="single" w:sz="4" w:space="0" w:color="000000"/>
              <w:right w:val="single" w:sz="24" w:space="0" w:color="000000"/>
            </w:tcBorders>
          </w:tcPr>
          <w:p w14:paraId="71DB6E77" w14:textId="77777777" w:rsidR="001A146E" w:rsidRDefault="001A146E">
            <w:pPr>
              <w:rPr>
                <w:sz w:val="18"/>
                <w:szCs w:val="18"/>
              </w:rPr>
            </w:pPr>
          </w:p>
        </w:tc>
      </w:tr>
      <w:tr w:rsidR="001A146E" w14:paraId="2DB0E5D7" w14:textId="77777777">
        <w:tc>
          <w:tcPr>
            <w:tcW w:w="3969" w:type="dxa"/>
            <w:tcBorders>
              <w:left w:val="single" w:sz="24" w:space="0" w:color="000000"/>
              <w:bottom w:val="single" w:sz="4" w:space="0" w:color="000000"/>
            </w:tcBorders>
          </w:tcPr>
          <w:p w14:paraId="7F741E3E" w14:textId="77777777" w:rsidR="001A146E" w:rsidRDefault="00496B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 healthy people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4B93D8A" w14:textId="477616C0" w:rsidR="001A146E" w:rsidRPr="00E5114B" w:rsidRDefault="003B0162" w:rsidP="004A0EA1">
            <w:pPr>
              <w:rPr>
                <w:color w:val="232323"/>
                <w:sz w:val="18"/>
                <w:szCs w:val="18"/>
                <w:shd w:val="clear" w:color="auto" w:fill="FFFFFF"/>
              </w:rPr>
            </w:pPr>
            <w:r>
              <w:rPr>
                <w:color w:val="232323"/>
                <w:sz w:val="18"/>
                <w:szCs w:val="18"/>
                <w:shd w:val="clear" w:color="auto" w:fill="FFFFFF"/>
              </w:rPr>
              <w:t xml:space="preserve">The spectrum of symptomatic infection ranges from mild (81%), severe (with dyspnea/hypoxia, 14%), and critical/death (5%); asymptomatic infections 30%–40%. </w:t>
            </w:r>
            <w:r w:rsidR="004A0EA1" w:rsidRPr="004A0EA1">
              <w:rPr>
                <w:color w:val="232323"/>
                <w:sz w:val="18"/>
                <w:szCs w:val="18"/>
                <w:shd w:val="clear" w:color="auto" w:fill="FFFFFF"/>
              </w:rPr>
              <w:t xml:space="preserve">Pneumonia </w:t>
            </w:r>
            <w:r w:rsidR="003C67AC">
              <w:rPr>
                <w:color w:val="232323"/>
                <w:sz w:val="18"/>
                <w:szCs w:val="18"/>
                <w:shd w:val="clear" w:color="auto" w:fill="FFFFFF"/>
              </w:rPr>
              <w:t xml:space="preserve">is </w:t>
            </w:r>
            <w:r w:rsidR="004A0EA1" w:rsidRPr="004A0EA1">
              <w:rPr>
                <w:color w:val="232323"/>
                <w:sz w:val="18"/>
                <w:szCs w:val="18"/>
                <w:shd w:val="clear" w:color="auto" w:fill="FFFFFF"/>
              </w:rPr>
              <w:t>the most frequent serious manifestation, characterized</w:t>
            </w:r>
            <w:r w:rsidR="00D92131">
              <w:rPr>
                <w:color w:val="232323"/>
                <w:sz w:val="18"/>
                <w:szCs w:val="18"/>
                <w:shd w:val="clear" w:color="auto" w:fill="FFFFFF"/>
              </w:rPr>
              <w:t xml:space="preserve"> </w:t>
            </w:r>
            <w:r w:rsidR="004A0EA1" w:rsidRPr="004A0EA1">
              <w:rPr>
                <w:color w:val="232323"/>
                <w:sz w:val="18"/>
                <w:szCs w:val="18"/>
                <w:shd w:val="clear" w:color="auto" w:fill="FFFFFF"/>
              </w:rPr>
              <w:t xml:space="preserve">by fever, cough, dyspnea, and </w:t>
            </w:r>
            <w:r w:rsidR="00D92131">
              <w:rPr>
                <w:color w:val="232323"/>
                <w:sz w:val="18"/>
                <w:szCs w:val="18"/>
                <w:shd w:val="clear" w:color="auto" w:fill="FFFFFF"/>
              </w:rPr>
              <w:t xml:space="preserve">abnormal </w:t>
            </w:r>
            <w:r w:rsidR="004A0EA1" w:rsidRPr="004A0EA1">
              <w:rPr>
                <w:color w:val="232323"/>
                <w:sz w:val="18"/>
                <w:szCs w:val="18"/>
                <w:shd w:val="clear" w:color="auto" w:fill="FFFFFF"/>
              </w:rPr>
              <w:t xml:space="preserve">chest </w:t>
            </w:r>
            <w:r w:rsidR="00D92131">
              <w:rPr>
                <w:color w:val="232323"/>
                <w:sz w:val="18"/>
                <w:szCs w:val="18"/>
                <w:shd w:val="clear" w:color="auto" w:fill="FFFFFF"/>
              </w:rPr>
              <w:t>imagings</w:t>
            </w:r>
            <w:r w:rsidR="004A0EA1">
              <w:rPr>
                <w:color w:val="232323"/>
                <w:sz w:val="18"/>
                <w:szCs w:val="18"/>
                <w:shd w:val="clear" w:color="auto" w:fill="FFFFFF"/>
              </w:rPr>
              <w:t xml:space="preserve">. </w:t>
            </w:r>
            <w:r w:rsidR="00D92131">
              <w:rPr>
                <w:color w:val="232323"/>
                <w:sz w:val="18"/>
                <w:szCs w:val="18"/>
                <w:shd w:val="clear" w:color="auto" w:fill="FFFFFF"/>
              </w:rPr>
              <w:t>U</w:t>
            </w:r>
            <w:r w:rsidR="004A0EA1" w:rsidRPr="004A0EA1">
              <w:rPr>
                <w:color w:val="232323"/>
                <w:sz w:val="18"/>
                <w:szCs w:val="18"/>
                <w:shd w:val="clear" w:color="auto" w:fill="FFFFFF"/>
              </w:rPr>
              <w:t>pper respiratory tract symptoms, myalgias, diarrhea, and smell or taste disorders, are also common</w:t>
            </w:r>
            <w:r w:rsidR="004A0EA1">
              <w:rPr>
                <w:color w:val="232323"/>
                <w:sz w:val="18"/>
                <w:szCs w:val="18"/>
                <w:shd w:val="clear" w:color="auto" w:fill="FFFFFF"/>
              </w:rPr>
              <w:t xml:space="preserve">. </w:t>
            </w:r>
            <w:r w:rsidR="00303178">
              <w:rPr>
                <w:color w:val="232323"/>
                <w:sz w:val="18"/>
                <w:szCs w:val="18"/>
                <w:shd w:val="clear" w:color="auto" w:fill="FFFFFF"/>
              </w:rPr>
              <w:t>C</w:t>
            </w:r>
            <w:r w:rsidR="004A0EA1">
              <w:rPr>
                <w:color w:val="232323"/>
                <w:sz w:val="18"/>
                <w:szCs w:val="18"/>
                <w:shd w:val="clear" w:color="auto" w:fill="FFFFFF"/>
              </w:rPr>
              <w:t xml:space="preserve">omplications of COVID-19 </w:t>
            </w:r>
            <w:r w:rsidR="00303178">
              <w:rPr>
                <w:color w:val="232323"/>
                <w:sz w:val="18"/>
                <w:szCs w:val="18"/>
                <w:shd w:val="clear" w:color="auto" w:fill="FFFFFF"/>
              </w:rPr>
              <w:t xml:space="preserve">include </w:t>
            </w:r>
            <w:r w:rsidR="004A0EA1">
              <w:rPr>
                <w:color w:val="232323"/>
                <w:sz w:val="18"/>
                <w:szCs w:val="18"/>
                <w:shd w:val="clear" w:color="auto" w:fill="FFFFFF"/>
              </w:rPr>
              <w:t xml:space="preserve">respiratory failure; cardiac and cardiovascular; </w:t>
            </w:r>
            <w:r w:rsidR="004A0EA1" w:rsidRPr="00651E76">
              <w:rPr>
                <w:color w:val="232323"/>
                <w:sz w:val="18"/>
                <w:szCs w:val="18"/>
                <w:shd w:val="clear" w:color="auto" w:fill="FFFFFF"/>
              </w:rPr>
              <w:t xml:space="preserve">thromboembolic; and other inflammatory/autoimmune </w:t>
            </w:r>
            <w:r w:rsidR="007E4BFA">
              <w:rPr>
                <w:color w:val="232323"/>
                <w:sz w:val="18"/>
                <w:szCs w:val="18"/>
                <w:shd w:val="clear" w:color="auto" w:fill="FFFFFF"/>
              </w:rPr>
              <w:t xml:space="preserve">complications </w:t>
            </w:r>
            <w:r w:rsidR="004A0EA1" w:rsidRPr="00651E76">
              <w:rPr>
                <w:color w:val="232323"/>
                <w:sz w:val="18"/>
                <w:szCs w:val="18"/>
                <w:shd w:val="clear" w:color="auto" w:fill="FFFFFF"/>
              </w:rPr>
              <w:t>(e.g., G</w:t>
            </w:r>
            <w:r w:rsidR="007E4BFA">
              <w:rPr>
                <w:color w:val="232323"/>
                <w:sz w:val="18"/>
                <w:szCs w:val="18"/>
                <w:shd w:val="clear" w:color="auto" w:fill="FFFFFF"/>
              </w:rPr>
              <w:t>uillain-</w:t>
            </w:r>
            <w:r w:rsidR="004A0EA1" w:rsidRPr="00651E76">
              <w:rPr>
                <w:color w:val="232323"/>
                <w:sz w:val="18"/>
                <w:szCs w:val="18"/>
                <w:shd w:val="clear" w:color="auto" w:fill="FFFFFF"/>
              </w:rPr>
              <w:t>B</w:t>
            </w:r>
            <w:r w:rsidR="007E4BFA">
              <w:rPr>
                <w:color w:val="232323"/>
                <w:sz w:val="18"/>
                <w:szCs w:val="18"/>
                <w:shd w:val="clear" w:color="auto" w:fill="FFFFFF"/>
              </w:rPr>
              <w:t>arre syndrome</w:t>
            </w:r>
            <w:r w:rsidR="004A0EA1" w:rsidRPr="00651E76">
              <w:rPr>
                <w:color w:val="232323"/>
                <w:sz w:val="18"/>
                <w:szCs w:val="18"/>
                <w:shd w:val="clear" w:color="auto" w:fill="FFFFFF"/>
              </w:rPr>
              <w:t xml:space="preserve">, </w:t>
            </w:r>
            <w:r w:rsidR="007E4BFA">
              <w:rPr>
                <w:sz w:val="18"/>
                <w:szCs w:val="18"/>
              </w:rPr>
              <w:t>Multisystem Inflammatory Syndrome in Children [MIS-C</w:t>
            </w:r>
            <w:r w:rsidR="007E4BFA">
              <w:rPr>
                <w:color w:val="232323"/>
                <w:sz w:val="18"/>
                <w:szCs w:val="18"/>
                <w:shd w:val="clear" w:color="auto" w:fill="FFFFFF"/>
              </w:rPr>
              <w:t>]</w:t>
            </w:r>
            <w:r w:rsidR="004A0EA1" w:rsidRPr="00651E76">
              <w:rPr>
                <w:color w:val="232323"/>
                <w:sz w:val="18"/>
                <w:szCs w:val="18"/>
                <w:shd w:val="clear" w:color="auto" w:fill="FFFFFF"/>
              </w:rPr>
              <w:t>); and secondary infections.</w:t>
            </w:r>
            <w:r w:rsidR="00651E76" w:rsidRPr="00651E76">
              <w:rPr>
                <w:color w:val="232323"/>
                <w:sz w:val="18"/>
                <w:szCs w:val="18"/>
                <w:shd w:val="clear" w:color="auto" w:fill="FFFFFF"/>
              </w:rPr>
              <w:t xml:space="preserve"> </w:t>
            </w:r>
            <w:r w:rsidR="00E5114B">
              <w:rPr>
                <w:color w:val="232323"/>
                <w:sz w:val="18"/>
                <w:szCs w:val="18"/>
                <w:shd w:val="clear" w:color="auto" w:fill="FFFFFF"/>
              </w:rPr>
              <w:t>Prolonged symptoms and l</w:t>
            </w:r>
            <w:r w:rsidR="00651E76" w:rsidRPr="00651E76">
              <w:rPr>
                <w:color w:val="232323"/>
                <w:sz w:val="18"/>
                <w:szCs w:val="18"/>
                <w:shd w:val="clear" w:color="auto" w:fill="FFFFFF"/>
              </w:rPr>
              <w:t>ong-term sequelae of COVID-19</w:t>
            </w:r>
            <w:r w:rsidR="00E5114B">
              <w:rPr>
                <w:color w:val="232323"/>
                <w:sz w:val="18"/>
                <w:szCs w:val="18"/>
                <w:shd w:val="clear" w:color="auto" w:fill="FFFFFF"/>
              </w:rPr>
              <w:t xml:space="preserve">, including post-intensive care syndrome </w:t>
            </w:r>
            <w:r w:rsidR="00E5114B" w:rsidRPr="00E5114B">
              <w:rPr>
                <w:color w:val="232323"/>
                <w:sz w:val="18"/>
                <w:szCs w:val="18"/>
                <w:shd w:val="clear" w:color="auto" w:fill="FFFFFF"/>
              </w:rPr>
              <w:t xml:space="preserve">(persistent impairments in cognition, mental health, and/or physical function </w:t>
            </w:r>
            <w:r w:rsidR="00E5114B" w:rsidRPr="00E5114B">
              <w:rPr>
                <w:color w:val="232323"/>
                <w:sz w:val="18"/>
                <w:szCs w:val="18"/>
                <w:shd w:val="clear" w:color="auto" w:fill="FFFFFF"/>
              </w:rPr>
              <w:lastRenderedPageBreak/>
              <w:t>following survival of critical illness)</w:t>
            </w:r>
            <w:r w:rsidR="00E5114B">
              <w:rPr>
                <w:color w:val="232323"/>
                <w:sz w:val="18"/>
                <w:szCs w:val="18"/>
                <w:shd w:val="clear" w:color="auto" w:fill="FFFFFF"/>
              </w:rPr>
              <w:t xml:space="preserve"> </w:t>
            </w:r>
            <w:r w:rsidR="00E944A2">
              <w:rPr>
                <w:color w:val="232323"/>
                <w:sz w:val="18"/>
                <w:szCs w:val="18"/>
                <w:shd w:val="clear" w:color="auto" w:fill="FFFFFF"/>
              </w:rPr>
              <w:t xml:space="preserve">are being </w:t>
            </w:r>
            <w:r w:rsidR="00E5114B">
              <w:rPr>
                <w:color w:val="232323"/>
                <w:sz w:val="18"/>
                <w:szCs w:val="18"/>
                <w:shd w:val="clear" w:color="auto" w:fill="FFFFFF"/>
              </w:rPr>
              <w:t>reported with emerging data.</w:t>
            </w:r>
          </w:p>
        </w:tc>
        <w:tc>
          <w:tcPr>
            <w:tcW w:w="3674" w:type="dxa"/>
            <w:tcBorders>
              <w:bottom w:val="single" w:sz="4" w:space="0" w:color="000000"/>
            </w:tcBorders>
          </w:tcPr>
          <w:p w14:paraId="717AAB46" w14:textId="77777777" w:rsidR="001A146E" w:rsidRDefault="001A146E"/>
        </w:tc>
        <w:tc>
          <w:tcPr>
            <w:tcW w:w="3420" w:type="dxa"/>
            <w:tcBorders>
              <w:bottom w:val="single" w:sz="4" w:space="0" w:color="000000"/>
              <w:right w:val="single" w:sz="24" w:space="0" w:color="000000"/>
            </w:tcBorders>
          </w:tcPr>
          <w:p w14:paraId="0A099BF6" w14:textId="09630B3F" w:rsidR="001A146E" w:rsidRDefault="007B4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McIntosh K. UpToDate. Available at: </w:t>
            </w:r>
            <w:hyperlink r:id="rId9" w:history="1">
              <w:r w:rsidRPr="00AB5B02">
                <w:rPr>
                  <w:rStyle w:val="Hyperlink"/>
                  <w:sz w:val="18"/>
                  <w:szCs w:val="18"/>
                </w:rPr>
                <w:t>https://www.uptodate.com/contents/coronavirus-disease-2019-covid-19-clinical-features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1A146E" w14:paraId="198C0241" w14:textId="77777777">
        <w:tc>
          <w:tcPr>
            <w:tcW w:w="3969" w:type="dxa"/>
            <w:tcBorders>
              <w:left w:val="single" w:sz="24" w:space="0" w:color="000000"/>
              <w:bottom w:val="single" w:sz="4" w:space="0" w:color="000000"/>
            </w:tcBorders>
          </w:tcPr>
          <w:p w14:paraId="766E28CB" w14:textId="77777777" w:rsidR="001A146E" w:rsidRDefault="00496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 immunocompromised people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7B1FDCB8" w14:textId="2309AF86" w:rsidR="001A146E" w:rsidRPr="008B2772" w:rsidRDefault="00605DA9" w:rsidP="008B27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I</w:t>
            </w:r>
            <w:r w:rsidR="008B2772">
              <w:rPr>
                <w:rStyle w:val="normaltextrun"/>
                <w:sz w:val="18"/>
                <w:szCs w:val="18"/>
              </w:rPr>
              <w:t>mmunocompromised people are at increased risk of severe illness from COVID-19.</w:t>
            </w:r>
            <w:r w:rsidR="008B2772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3674" w:type="dxa"/>
            <w:tcBorders>
              <w:bottom w:val="single" w:sz="4" w:space="0" w:color="000000"/>
            </w:tcBorders>
          </w:tcPr>
          <w:p w14:paraId="10636B1E" w14:textId="77777777" w:rsidR="001A146E" w:rsidRDefault="001A146E"/>
        </w:tc>
        <w:tc>
          <w:tcPr>
            <w:tcW w:w="3420" w:type="dxa"/>
            <w:tcBorders>
              <w:bottom w:val="single" w:sz="4" w:space="0" w:color="000000"/>
              <w:right w:val="single" w:sz="24" w:space="0" w:color="000000"/>
            </w:tcBorders>
          </w:tcPr>
          <w:p w14:paraId="51112382" w14:textId="744CD35D" w:rsidR="001A146E" w:rsidRDefault="0028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CDC. Available at: </w:t>
            </w:r>
            <w:hyperlink r:id="rId10" w:history="1">
              <w:r w:rsidRPr="00AB5B02">
                <w:rPr>
                  <w:rStyle w:val="Hyperlink"/>
                  <w:sz w:val="18"/>
                  <w:szCs w:val="18"/>
                </w:rPr>
                <w:t>https://www.cdc.gov/coronavirus/2019-ncov/need-extra-precautions/people-with-medical-conditions.html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1A146E" w14:paraId="55196000" w14:textId="77777777">
        <w:tc>
          <w:tcPr>
            <w:tcW w:w="3969" w:type="dxa"/>
            <w:tcBorders>
              <w:left w:val="single" w:sz="24" w:space="0" w:color="000000"/>
              <w:bottom w:val="single" w:sz="4" w:space="0" w:color="000000"/>
            </w:tcBorders>
          </w:tcPr>
          <w:p w14:paraId="2B3F2ACA" w14:textId="77777777" w:rsidR="001A146E" w:rsidRDefault="00496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 neonates, infants, children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3159638C" w14:textId="62676181" w:rsidR="001A146E" w:rsidRPr="009765FF" w:rsidRDefault="00976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Fewer children have been ill with COVID-19 compared to adults. Most children with COVID-19 have mild symptoms or are asymptomatic. However, infants under 1 year old and children with certain medical conditions might be at increased risk of severe illness: asthma or chronic lung disease; diabetes; genetic, neurologic, or metabolic conditions; congenital heart disease; immunosuppression; multiple complexity; and obesity.</w:t>
            </w:r>
            <w:r w:rsidR="006B6123">
              <w:rPr>
                <w:sz w:val="18"/>
                <w:szCs w:val="18"/>
              </w:rPr>
              <w:t xml:space="preserve"> MIS-C, a Kawasaki-like inflammatory condition involving the heart, lungs, kidneys, brain, skin, eyes, or gastrointestinal organs, has been observed in health</w:t>
            </w:r>
            <w:r w:rsidR="00DF303A">
              <w:rPr>
                <w:sz w:val="18"/>
                <w:szCs w:val="18"/>
              </w:rPr>
              <w:t>y</w:t>
            </w:r>
            <w:r w:rsidR="006B6123">
              <w:rPr>
                <w:sz w:val="18"/>
                <w:szCs w:val="18"/>
              </w:rPr>
              <w:t xml:space="preserve"> children with COVID-19.</w:t>
            </w:r>
          </w:p>
        </w:tc>
        <w:tc>
          <w:tcPr>
            <w:tcW w:w="3674" w:type="dxa"/>
            <w:tcBorders>
              <w:bottom w:val="single" w:sz="4" w:space="0" w:color="000000"/>
            </w:tcBorders>
          </w:tcPr>
          <w:p w14:paraId="4D4CB55F" w14:textId="77777777" w:rsidR="001A146E" w:rsidRDefault="001A146E"/>
        </w:tc>
        <w:tc>
          <w:tcPr>
            <w:tcW w:w="3420" w:type="dxa"/>
            <w:tcBorders>
              <w:bottom w:val="single" w:sz="4" w:space="0" w:color="000000"/>
              <w:right w:val="single" w:sz="24" w:space="0" w:color="000000"/>
            </w:tcBorders>
          </w:tcPr>
          <w:p w14:paraId="7BD31499" w14:textId="1A49778A" w:rsidR="00C77B70" w:rsidRDefault="00C77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CDC. Available at: </w:t>
            </w:r>
            <w:hyperlink r:id="rId11" w:history="1">
              <w:r w:rsidRPr="00AB5B02">
                <w:rPr>
                  <w:rStyle w:val="Hyperlink"/>
                  <w:sz w:val="18"/>
                  <w:szCs w:val="18"/>
                </w:rPr>
                <w:t>https://www.cdc.gov/coronavirus/2019-ncov/daily-life-coping/children/symptoms.html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12D6CA3E" w14:textId="770AFE84" w:rsidR="001A146E" w:rsidRDefault="00C77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CDC. Available at: </w:t>
            </w:r>
            <w:hyperlink r:id="rId12" w:history="1">
              <w:r w:rsidRPr="00AB5B02">
                <w:rPr>
                  <w:rStyle w:val="Hyperlink"/>
                  <w:sz w:val="18"/>
                  <w:szCs w:val="18"/>
                </w:rPr>
                <w:t>https://www.cdc.gov/mis-c/index.html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1A146E" w14:paraId="0859EC03" w14:textId="77777777">
        <w:tc>
          <w:tcPr>
            <w:tcW w:w="3969" w:type="dxa"/>
            <w:tcBorders>
              <w:left w:val="single" w:sz="24" w:space="0" w:color="000000"/>
              <w:bottom w:val="single" w:sz="4" w:space="0" w:color="000000"/>
            </w:tcBorders>
          </w:tcPr>
          <w:p w14:paraId="4984B1AC" w14:textId="77777777" w:rsidR="001A146E" w:rsidRPr="00230C3B" w:rsidRDefault="00496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rPr>
                <w:b/>
                <w:color w:val="000000"/>
                <w:sz w:val="18"/>
                <w:szCs w:val="18"/>
              </w:rPr>
            </w:pPr>
            <w:r w:rsidRPr="00061913">
              <w:rPr>
                <w:color w:val="000000"/>
                <w:sz w:val="22"/>
                <w:szCs w:val="22"/>
              </w:rPr>
              <w:t>During pregnancy and in the fetus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02A0ECE1" w14:textId="2FA439A5" w:rsidR="001A146E" w:rsidRPr="008F1AEB" w:rsidRDefault="00CD40A4" w:rsidP="004D6B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Limited data to date indicate</w:t>
            </w:r>
            <w:r w:rsidR="00192E02">
              <w:rPr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 that p</w:t>
            </w:r>
            <w:r w:rsidR="00AC612C" w:rsidRPr="00AC612C">
              <w:rPr>
                <w:color w:val="000000"/>
                <w:sz w:val="18"/>
                <w:szCs w:val="18"/>
              </w:rPr>
              <w:t xml:space="preserve">regnant women might be at increased risk for severe </w:t>
            </w:r>
            <w:r w:rsidR="002B2032">
              <w:rPr>
                <w:color w:val="000000"/>
                <w:sz w:val="18"/>
                <w:szCs w:val="18"/>
              </w:rPr>
              <w:t>illness from SARS-CoV-2 infection</w:t>
            </w:r>
            <w:r w:rsidR="00AC612C" w:rsidRPr="00AC612C">
              <w:rPr>
                <w:color w:val="000000"/>
                <w:sz w:val="18"/>
                <w:szCs w:val="18"/>
              </w:rPr>
              <w:t>.</w:t>
            </w:r>
            <w:r w:rsidR="004B3ADA">
              <w:rPr>
                <w:color w:val="000000"/>
                <w:sz w:val="18"/>
                <w:szCs w:val="18"/>
              </w:rPr>
              <w:t xml:space="preserve"> </w:t>
            </w:r>
            <w:r w:rsidR="00AC612C" w:rsidRPr="00AC612C">
              <w:rPr>
                <w:color w:val="000000"/>
                <w:sz w:val="18"/>
                <w:szCs w:val="18"/>
                <w:shd w:val="clear" w:color="auto" w:fill="FFFFFF"/>
              </w:rPr>
              <w:t>Pregnant women have disproportionately higher rates of COVID-19</w:t>
            </w:r>
            <w:r w:rsidR="00D57088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AC612C" w:rsidRPr="00AC612C">
              <w:rPr>
                <w:color w:val="000000"/>
                <w:sz w:val="18"/>
                <w:szCs w:val="18"/>
                <w:shd w:val="clear" w:color="auto" w:fill="FFFFFF"/>
              </w:rPr>
              <w:t>associated hospitalizations</w:t>
            </w:r>
            <w:r w:rsidR="00CA652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C612C" w:rsidRPr="00AC612C">
              <w:rPr>
                <w:color w:val="000000"/>
                <w:sz w:val="18"/>
                <w:szCs w:val="18"/>
                <w:shd w:val="clear" w:color="auto" w:fill="FFFFFF"/>
              </w:rPr>
              <w:t>compared to nonpregnant women</w:t>
            </w:r>
            <w:r w:rsidR="004C54DF">
              <w:rPr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="00FA3827">
              <w:rPr>
                <w:color w:val="000000"/>
                <w:sz w:val="18"/>
                <w:szCs w:val="18"/>
                <w:shd w:val="clear" w:color="auto" w:fill="FFFFFF"/>
              </w:rPr>
              <w:t xml:space="preserve">About 50% of </w:t>
            </w:r>
            <w:r w:rsidR="004C54DF">
              <w:rPr>
                <w:color w:val="000000"/>
                <w:sz w:val="18"/>
                <w:szCs w:val="18"/>
                <w:shd w:val="clear" w:color="auto" w:fill="FFFFFF"/>
              </w:rPr>
              <w:t>hospitalized pregnant women</w:t>
            </w:r>
            <w:r w:rsidR="00FA3827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C7503">
              <w:rPr>
                <w:color w:val="000000"/>
                <w:sz w:val="18"/>
                <w:szCs w:val="18"/>
                <w:shd w:val="clear" w:color="auto" w:fill="FFFFFF"/>
              </w:rPr>
              <w:t>a</w:t>
            </w:r>
            <w:r w:rsidR="001456C0">
              <w:rPr>
                <w:color w:val="000000"/>
                <w:sz w:val="18"/>
                <w:szCs w:val="18"/>
                <w:shd w:val="clear" w:color="auto" w:fill="FFFFFF"/>
              </w:rPr>
              <w:t>r</w:t>
            </w:r>
            <w:r w:rsidR="00AC612C" w:rsidRPr="00AC612C">
              <w:rPr>
                <w:color w:val="000000"/>
                <w:sz w:val="18"/>
                <w:szCs w:val="18"/>
                <w:shd w:val="clear" w:color="auto" w:fill="FFFFFF"/>
              </w:rPr>
              <w:t>e asymptomatic at admission.</w:t>
            </w:r>
            <w:r w:rsidR="00B67A4D">
              <w:rPr>
                <w:color w:val="000000"/>
                <w:sz w:val="18"/>
                <w:szCs w:val="18"/>
                <w:shd w:val="clear" w:color="auto" w:fill="FFFFFF"/>
              </w:rPr>
              <w:t xml:space="preserve"> Severe illness </w:t>
            </w:r>
            <w:r w:rsidR="008633FB">
              <w:rPr>
                <w:color w:val="000000"/>
                <w:sz w:val="18"/>
                <w:szCs w:val="18"/>
                <w:shd w:val="clear" w:color="auto" w:fill="FFFFFF"/>
              </w:rPr>
              <w:t>(</w:t>
            </w:r>
            <w:r w:rsidR="00B67A4D">
              <w:rPr>
                <w:color w:val="000000"/>
                <w:sz w:val="18"/>
                <w:szCs w:val="18"/>
                <w:shd w:val="clear" w:color="auto" w:fill="FFFFFF"/>
              </w:rPr>
              <w:t xml:space="preserve">intensive care </w:t>
            </w:r>
            <w:r w:rsidR="004A4547">
              <w:rPr>
                <w:color w:val="000000"/>
                <w:sz w:val="18"/>
                <w:szCs w:val="18"/>
                <w:shd w:val="clear" w:color="auto" w:fill="FFFFFF"/>
              </w:rPr>
              <w:t>15%</w:t>
            </w:r>
            <w:r w:rsidR="00B67A4D">
              <w:rPr>
                <w:color w:val="000000"/>
                <w:sz w:val="18"/>
                <w:szCs w:val="18"/>
                <w:shd w:val="clear" w:color="auto" w:fill="FFFFFF"/>
              </w:rPr>
              <w:t>, mechanical ventilation 8%, and death 1%)</w:t>
            </w:r>
            <w:r w:rsidR="008633FB">
              <w:rPr>
                <w:color w:val="000000"/>
                <w:sz w:val="18"/>
                <w:szCs w:val="18"/>
                <w:shd w:val="clear" w:color="auto" w:fill="FFFFFF"/>
              </w:rPr>
              <w:t xml:space="preserve"> and</w:t>
            </w:r>
            <w:r w:rsidR="00B67A4D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633FB">
              <w:rPr>
                <w:color w:val="000000"/>
                <w:sz w:val="18"/>
                <w:szCs w:val="18"/>
                <w:shd w:val="clear" w:color="auto" w:fill="FFFFFF"/>
              </w:rPr>
              <w:t>p</w:t>
            </w:r>
            <w:r w:rsidR="00AC612C" w:rsidRPr="00AC612C">
              <w:rPr>
                <w:color w:val="000000"/>
                <w:sz w:val="18"/>
                <w:szCs w:val="18"/>
                <w:shd w:val="clear" w:color="auto" w:fill="FFFFFF"/>
              </w:rPr>
              <w:t xml:space="preserve">regnancy losses occur </w:t>
            </w:r>
            <w:r w:rsidR="00DD1797">
              <w:rPr>
                <w:color w:val="000000"/>
                <w:sz w:val="18"/>
                <w:szCs w:val="18"/>
                <w:shd w:val="clear" w:color="auto" w:fill="FFFFFF"/>
              </w:rPr>
              <w:t>for</w:t>
            </w:r>
            <w:r w:rsidR="00477695">
              <w:rPr>
                <w:color w:val="000000"/>
                <w:sz w:val="18"/>
                <w:szCs w:val="18"/>
                <w:shd w:val="clear" w:color="auto" w:fill="FFFFFF"/>
              </w:rPr>
              <w:t xml:space="preserve"> 2% of hospitalized women</w:t>
            </w:r>
            <w:r w:rsidR="00DD62E1">
              <w:rPr>
                <w:color w:val="000000"/>
                <w:sz w:val="18"/>
                <w:szCs w:val="18"/>
                <w:shd w:val="clear" w:color="auto" w:fill="FFFFFF"/>
              </w:rPr>
              <w:t>; the later</w:t>
            </w:r>
            <w:r w:rsidR="00DD1797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DD62E1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a</w:t>
            </w:r>
            <w:r w:rsidR="00DD1797">
              <w:rPr>
                <w:color w:val="000000"/>
                <w:sz w:val="18"/>
                <w:szCs w:val="18"/>
                <w:shd w:val="clear" w:color="auto" w:fill="FFFFFF"/>
              </w:rPr>
              <w:t>re experienced by</w:t>
            </w:r>
            <w:r w:rsidR="00477695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C612C" w:rsidRPr="00AC612C">
              <w:rPr>
                <w:color w:val="000000"/>
                <w:sz w:val="18"/>
                <w:szCs w:val="18"/>
                <w:shd w:val="clear" w:color="auto" w:fill="FFFFFF"/>
              </w:rPr>
              <w:t>both symptomatic and asymptomatic</w:t>
            </w:r>
            <w:r w:rsidR="00DD1797">
              <w:rPr>
                <w:color w:val="000000"/>
                <w:sz w:val="18"/>
                <w:szCs w:val="18"/>
                <w:shd w:val="clear" w:color="auto" w:fill="FFFFFF"/>
              </w:rPr>
              <w:t xml:space="preserve"> women</w:t>
            </w:r>
            <w:r w:rsidR="00477695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674" w:type="dxa"/>
            <w:tcBorders>
              <w:bottom w:val="single" w:sz="4" w:space="0" w:color="000000"/>
            </w:tcBorders>
          </w:tcPr>
          <w:p w14:paraId="72AC1B99" w14:textId="37061E68" w:rsidR="001A146E" w:rsidRPr="00A62747" w:rsidRDefault="00C51DF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In a Swedish </w:t>
            </w:r>
            <w:r w:rsidRPr="0092627A">
              <w:rPr>
                <w:color w:val="000000"/>
                <w:sz w:val="18"/>
                <w:szCs w:val="18"/>
                <w:shd w:val="clear" w:color="auto" w:fill="FFFFFF"/>
              </w:rPr>
              <w:t>study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92627A">
              <w:rPr>
                <w:color w:val="000000"/>
                <w:sz w:val="18"/>
                <w:szCs w:val="18"/>
                <w:shd w:val="clear" w:color="auto" w:fill="FFFFFF"/>
              </w:rPr>
              <w:t xml:space="preserve">SARS-CoV-2 test positivity in individuals in labor was associated with a higher prevalence of preeclampsia (prevalence ratio 1.84, 95% CI 1.004–3.36) and lower prevalence of induction of labor (prevalence ratio 0.64, 95% CI, 0.45–0.90). Mode of delivery, postpartum hemorrhage, preterm birth, 5-minute Apgar score, and birth weight for gestational age did not significantly differ between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test positive and negative groups.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24" w:space="0" w:color="000000"/>
            </w:tcBorders>
          </w:tcPr>
          <w:p w14:paraId="00AFC192" w14:textId="3BE0ECA2" w:rsidR="001A146E" w:rsidRDefault="00FC685E" w:rsidP="00F156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Delahoy</w:t>
            </w:r>
            <w:proofErr w:type="spellEnd"/>
            <w:r>
              <w:rPr>
                <w:sz w:val="18"/>
                <w:szCs w:val="18"/>
              </w:rPr>
              <w:t xml:space="preserve"> MJ et al. MMWR </w:t>
            </w:r>
            <w:proofErr w:type="spellStart"/>
            <w:r>
              <w:rPr>
                <w:sz w:val="18"/>
                <w:szCs w:val="18"/>
              </w:rPr>
              <w:t>Morb</w:t>
            </w:r>
            <w:proofErr w:type="spellEnd"/>
            <w:r>
              <w:rPr>
                <w:sz w:val="18"/>
                <w:szCs w:val="18"/>
              </w:rPr>
              <w:t xml:space="preserve"> Mortal </w:t>
            </w:r>
            <w:proofErr w:type="spellStart"/>
            <w:r>
              <w:rPr>
                <w:sz w:val="18"/>
                <w:szCs w:val="18"/>
              </w:rPr>
              <w:t>Wkly</w:t>
            </w:r>
            <w:proofErr w:type="spellEnd"/>
            <w:r>
              <w:rPr>
                <w:sz w:val="18"/>
                <w:szCs w:val="18"/>
              </w:rPr>
              <w:t xml:space="preserve"> Rep 2020;69:1347, </w:t>
            </w:r>
            <w:proofErr w:type="spellStart"/>
            <w:r>
              <w:rPr>
                <w:sz w:val="18"/>
                <w:szCs w:val="18"/>
              </w:rPr>
              <w:t>doi</w:t>
            </w:r>
            <w:proofErr w:type="spellEnd"/>
            <w:r>
              <w:rPr>
                <w:sz w:val="18"/>
                <w:szCs w:val="18"/>
              </w:rPr>
              <w:t>: 10.15585/mmwr.mm6938e1</w:t>
            </w:r>
          </w:p>
          <w:p w14:paraId="4FABAEB3" w14:textId="16D2C9C2" w:rsidR="00AE3AB0" w:rsidRDefault="00AE3AB0" w:rsidP="00AE3AB0">
            <w:pPr>
              <w:spacing w:after="120"/>
              <w:rPr>
                <w:sz w:val="18"/>
                <w:szCs w:val="18"/>
              </w:rPr>
            </w:pPr>
            <w:proofErr w:type="spellStart"/>
            <w:r w:rsidRPr="00834924">
              <w:rPr>
                <w:sz w:val="18"/>
                <w:szCs w:val="18"/>
              </w:rPr>
              <w:t>Ahlberg</w:t>
            </w:r>
            <w:proofErr w:type="spellEnd"/>
            <w:r w:rsidRPr="00834924">
              <w:rPr>
                <w:sz w:val="18"/>
                <w:szCs w:val="18"/>
              </w:rPr>
              <w:t xml:space="preserve"> M et al. JAMA 2020</w:t>
            </w:r>
            <w:r>
              <w:rPr>
                <w:sz w:val="18"/>
                <w:szCs w:val="18"/>
              </w:rPr>
              <w:t xml:space="preserve">, </w:t>
            </w:r>
            <w:r w:rsidRPr="00834924">
              <w:rPr>
                <w:sz w:val="18"/>
                <w:szCs w:val="18"/>
              </w:rPr>
              <w:t>doi:10.1001/jama.2020.19124</w:t>
            </w:r>
          </w:p>
        </w:tc>
      </w:tr>
      <w:tr w:rsidR="001A146E" w14:paraId="1B145102" w14:textId="77777777">
        <w:tc>
          <w:tcPr>
            <w:tcW w:w="3969" w:type="dxa"/>
            <w:tcBorders>
              <w:left w:val="single" w:sz="24" w:space="0" w:color="000000"/>
              <w:bottom w:val="single" w:sz="4" w:space="0" w:color="000000"/>
            </w:tcBorders>
          </w:tcPr>
          <w:p w14:paraId="7CBFE08A" w14:textId="77777777" w:rsidR="001A146E" w:rsidRDefault="00496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 elderly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681609D6" w14:textId="3DD4FE62" w:rsidR="001A146E" w:rsidRPr="00AC612C" w:rsidRDefault="00A81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risk for severe illness from COVID-19 increases with age, with older adults at highest risk; 80% of COVID-19 deaths reported in the U.S. have been in adults 65 years and older</w:t>
            </w:r>
            <w:r w:rsidR="00B71058">
              <w:rPr>
                <w:sz w:val="18"/>
                <w:szCs w:val="18"/>
              </w:rPr>
              <w:t xml:space="preserve"> (16% of COVID-19 cases)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74" w:type="dxa"/>
            <w:tcBorders>
              <w:bottom w:val="single" w:sz="4" w:space="0" w:color="000000"/>
            </w:tcBorders>
          </w:tcPr>
          <w:p w14:paraId="308452C0" w14:textId="77777777" w:rsidR="001A146E" w:rsidRDefault="001A146E"/>
        </w:tc>
        <w:tc>
          <w:tcPr>
            <w:tcW w:w="3420" w:type="dxa"/>
            <w:tcBorders>
              <w:bottom w:val="single" w:sz="4" w:space="0" w:color="000000"/>
              <w:right w:val="single" w:sz="24" w:space="0" w:color="000000"/>
            </w:tcBorders>
          </w:tcPr>
          <w:p w14:paraId="5F675AD4" w14:textId="11E77C03" w:rsidR="001A146E" w:rsidRDefault="00A81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CDC. Available at: </w:t>
            </w:r>
            <w:hyperlink r:id="rId13" w:history="1">
              <w:r w:rsidRPr="00AB5B02">
                <w:rPr>
                  <w:rStyle w:val="Hyperlink"/>
                  <w:sz w:val="18"/>
                  <w:szCs w:val="18"/>
                </w:rPr>
                <w:t>https://www.cdc.gov/coronavirus/2019-ncov/need-extra-precautions/older-adults.html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1A146E" w14:paraId="69789374" w14:textId="77777777">
        <w:tc>
          <w:tcPr>
            <w:tcW w:w="3969" w:type="dxa"/>
            <w:tcBorders>
              <w:left w:val="single" w:sz="24" w:space="0" w:color="000000"/>
              <w:bottom w:val="single" w:sz="4" w:space="0" w:color="000000"/>
            </w:tcBorders>
          </w:tcPr>
          <w:p w14:paraId="757472F8" w14:textId="77777777" w:rsidR="001A146E" w:rsidRDefault="00496B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 any other special populations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0F6B8B9C" w14:textId="068EAB41" w:rsidR="001A146E" w:rsidRPr="00AC612C" w:rsidRDefault="007C4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People with the following conditions are at increased risk of severe illness from COVID-19: cancer, chronic kidney disease, </w:t>
            </w:r>
            <w:r w:rsidR="00340CE2">
              <w:rPr>
                <w:sz w:val="18"/>
                <w:szCs w:val="18"/>
              </w:rPr>
              <w:t>chronic obstructive pulmonary disease</w:t>
            </w:r>
            <w:r>
              <w:rPr>
                <w:sz w:val="18"/>
                <w:szCs w:val="18"/>
              </w:rPr>
              <w:t>,</w:t>
            </w:r>
            <w:r w:rsidR="00340CE2">
              <w:rPr>
                <w:sz w:val="18"/>
                <w:szCs w:val="18"/>
              </w:rPr>
              <w:t xml:space="preserve"> </w:t>
            </w:r>
            <w:r w:rsidR="00521880">
              <w:rPr>
                <w:sz w:val="18"/>
                <w:szCs w:val="18"/>
              </w:rPr>
              <w:t>immunocompromised state from</w:t>
            </w:r>
            <w:r w:rsidR="00441B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solid organ transplant, obesity (BMI of 30 or higher), serious heart conditions, sickle cell disease, and type 2 diabetes mellitus. Certain conditions might increase risk for severe illness including asthma (moderate to severe), cerebrovascular disease,</w:t>
            </w:r>
            <w:r w:rsidR="005218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hypertension, immunocompromised state </w:t>
            </w:r>
            <w:r w:rsidR="00521880">
              <w:rPr>
                <w:sz w:val="18"/>
                <w:szCs w:val="18"/>
              </w:rPr>
              <w:t>from blood or bone marrow transplant, immune deficiencies, HIV, steroid use or other immunomodulators</w:t>
            </w:r>
            <w:r>
              <w:rPr>
                <w:sz w:val="18"/>
                <w:szCs w:val="18"/>
              </w:rPr>
              <w:t>, neurologic conditions, liver disease, pulmonary fibrosis, smoking, thalassemia, and type 1 diabetes mellit</w:t>
            </w:r>
            <w:r w:rsidR="00582914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s.</w:t>
            </w:r>
          </w:p>
        </w:tc>
        <w:tc>
          <w:tcPr>
            <w:tcW w:w="3674" w:type="dxa"/>
            <w:tcBorders>
              <w:bottom w:val="single" w:sz="4" w:space="0" w:color="000000"/>
            </w:tcBorders>
          </w:tcPr>
          <w:p w14:paraId="2BD7885C" w14:textId="77777777" w:rsidR="001A146E" w:rsidRDefault="001A146E"/>
        </w:tc>
        <w:tc>
          <w:tcPr>
            <w:tcW w:w="3420" w:type="dxa"/>
            <w:tcBorders>
              <w:bottom w:val="single" w:sz="4" w:space="0" w:color="000000"/>
              <w:right w:val="single" w:sz="24" w:space="0" w:color="000000"/>
            </w:tcBorders>
          </w:tcPr>
          <w:p w14:paraId="0696FD1A" w14:textId="1525EE4A" w:rsidR="001A146E" w:rsidRDefault="00697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CDC ACIP</w:t>
            </w:r>
            <w:r w:rsidR="007C4B0C">
              <w:rPr>
                <w:sz w:val="18"/>
                <w:szCs w:val="18"/>
              </w:rPr>
              <w:t xml:space="preserve">. Available at: </w:t>
            </w:r>
            <w:hyperlink r:id="rId14" w:history="1">
              <w:r w:rsidR="00521880" w:rsidRPr="00AB5B02">
                <w:rPr>
                  <w:rStyle w:val="Hyperlink"/>
                  <w:sz w:val="18"/>
                  <w:szCs w:val="18"/>
                </w:rPr>
                <w:t>https://www.cdc.gov/vaccines/acip/meetings/downloads/slides-2020-08/COVID-05-McLung.pdf</w:t>
              </w:r>
            </w:hyperlink>
            <w:r w:rsidR="00521880">
              <w:rPr>
                <w:sz w:val="18"/>
                <w:szCs w:val="18"/>
              </w:rPr>
              <w:t xml:space="preserve"> </w:t>
            </w:r>
          </w:p>
        </w:tc>
      </w:tr>
      <w:tr w:rsidR="001A146E" w14:paraId="693C7456" w14:textId="77777777">
        <w:tc>
          <w:tcPr>
            <w:tcW w:w="3969" w:type="dxa"/>
            <w:tcBorders>
              <w:left w:val="single" w:sz="24" w:space="0" w:color="000000"/>
              <w:bottom w:val="single" w:sz="4" w:space="0" w:color="000000"/>
            </w:tcBorders>
          </w:tcPr>
          <w:p w14:paraId="51BDAE25" w14:textId="77777777" w:rsidR="001A146E" w:rsidRDefault="00496BD2">
            <w:pPr>
              <w:tabs>
                <w:tab w:val="left" w:pos="447"/>
              </w:tabs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5.3 </w:t>
            </w:r>
            <w:r>
              <w:rPr>
                <w:color w:val="000000"/>
                <w:sz w:val="22"/>
                <w:szCs w:val="22"/>
              </w:rPr>
              <w:t xml:space="preserve">Briefly, what are the key epidemiologic characteristics of the disease caused by the target pathogen (e.g. 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highlight w:val="white"/>
              </w:rPr>
              <w:t>ncubation period, communicable period</w:t>
            </w:r>
            <w:r>
              <w:rPr>
                <w:i/>
                <w:sz w:val="22"/>
                <w:szCs w:val="22"/>
                <w:highlight w:val="white"/>
              </w:rPr>
              <w:t xml:space="preserve">, </w:t>
            </w:r>
            <w:r>
              <w:rPr>
                <w:sz w:val="22"/>
                <w:szCs w:val="22"/>
                <w:highlight w:val="white"/>
              </w:rPr>
              <w:t>route/s of transmission,</w:t>
            </w:r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case fatality rate, transmissibility characteristics such as basic reproductive ratio</w:t>
            </w:r>
            <w:r>
              <w:rPr>
                <w:i/>
                <w:sz w:val="22"/>
                <w:szCs w:val="22"/>
                <w:highlight w:val="white"/>
              </w:rPr>
              <w:t xml:space="preserve"> (</w:t>
            </w:r>
            <w:r>
              <w:rPr>
                <w:sz w:val="22"/>
                <w:szCs w:val="22"/>
                <w:highlight w:val="white"/>
              </w:rPr>
              <w:t>R</w:t>
            </w:r>
            <w:r>
              <w:rPr>
                <w:sz w:val="22"/>
                <w:szCs w:val="22"/>
                <w:highlight w:val="white"/>
                <w:vertAlign w:val="subscript"/>
              </w:rPr>
              <w:t>0</w:t>
            </w:r>
            <w:r>
              <w:rPr>
                <w:i/>
                <w:sz w:val="22"/>
                <w:szCs w:val="22"/>
                <w:highlight w:val="white"/>
              </w:rPr>
              <w:t>)</w:t>
            </w:r>
            <w:r>
              <w:rPr>
                <w:sz w:val="22"/>
                <w:szCs w:val="22"/>
                <w:highlight w:val="white"/>
              </w:rPr>
              <w:t xml:space="preserve"> etc.)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74CE9595" w14:textId="28182248" w:rsidR="001A146E" w:rsidRPr="00EC51AA" w:rsidRDefault="006C68B8">
            <w:pPr>
              <w:rPr>
                <w:sz w:val="18"/>
                <w:szCs w:val="18"/>
              </w:rPr>
            </w:pPr>
            <w:r w:rsidRPr="006C68B8">
              <w:rPr>
                <w:sz w:val="18"/>
                <w:szCs w:val="18"/>
              </w:rPr>
              <w:t xml:space="preserve">The incubation period is on average 5 days, but can be as long as 14 days. </w:t>
            </w:r>
            <w:r w:rsidRPr="006C68B8">
              <w:rPr>
                <w:color w:val="000000"/>
                <w:sz w:val="18"/>
                <w:szCs w:val="18"/>
                <w:shd w:val="clear" w:color="auto" w:fill="FFFFFF"/>
              </w:rPr>
              <w:t xml:space="preserve">Available data indicate that persons </w:t>
            </w:r>
            <w:r w:rsidR="008F39BD">
              <w:rPr>
                <w:color w:val="000000"/>
                <w:sz w:val="18"/>
                <w:szCs w:val="18"/>
                <w:shd w:val="clear" w:color="auto" w:fill="FFFFFF"/>
              </w:rPr>
              <w:t>are infectious 1–3 days before their symptom onset</w:t>
            </w:r>
            <w:r w:rsidR="004F7E8B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8F39BD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4F7E8B">
              <w:rPr>
                <w:color w:val="000000"/>
                <w:sz w:val="18"/>
                <w:szCs w:val="18"/>
                <w:shd w:val="clear" w:color="auto" w:fill="FFFFFF"/>
              </w:rPr>
              <w:t xml:space="preserve">Persons </w:t>
            </w:r>
            <w:r w:rsidRPr="006C68B8">
              <w:rPr>
                <w:color w:val="000000"/>
                <w:sz w:val="18"/>
                <w:szCs w:val="18"/>
                <w:shd w:val="clear" w:color="auto" w:fill="FFFFFF"/>
              </w:rPr>
              <w:t>with mild to moderate COVID-19 remain infectious no longer than 10 days after symptom onset</w:t>
            </w:r>
            <w:r w:rsidR="008F39BD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044722">
              <w:rPr>
                <w:color w:val="000000"/>
                <w:sz w:val="18"/>
                <w:szCs w:val="18"/>
                <w:shd w:val="clear" w:color="auto" w:fill="FFFFFF"/>
              </w:rPr>
              <w:t xml:space="preserve">whilst </w:t>
            </w:r>
            <w:r w:rsidR="008F39BD">
              <w:rPr>
                <w:color w:val="000000"/>
                <w:sz w:val="18"/>
                <w:szCs w:val="18"/>
                <w:shd w:val="clear" w:color="auto" w:fill="FFFFFF"/>
              </w:rPr>
              <w:t xml:space="preserve">those </w:t>
            </w:r>
            <w:r w:rsidRPr="006C68B8">
              <w:rPr>
                <w:color w:val="000000"/>
                <w:sz w:val="18"/>
                <w:szCs w:val="18"/>
                <w:shd w:val="clear" w:color="auto" w:fill="FFFFFF"/>
              </w:rPr>
              <w:t>with more severe to critical illness or severe immunocompromise likely remain infectious no longer than 20 days after symptom onset.</w:t>
            </w:r>
            <w:r w:rsidR="00CE20E8">
              <w:rPr>
                <w:sz w:val="18"/>
                <w:szCs w:val="18"/>
              </w:rPr>
              <w:t xml:space="preserve"> </w:t>
            </w:r>
            <w:r w:rsidRPr="006C68B8">
              <w:rPr>
                <w:sz w:val="18"/>
                <w:szCs w:val="18"/>
              </w:rPr>
              <w:lastRenderedPageBreak/>
              <w:t>Asymptomatic individuals might transmit the infection.</w:t>
            </w:r>
            <w:r w:rsidR="009C7AA3">
              <w:rPr>
                <w:sz w:val="18"/>
                <w:szCs w:val="18"/>
              </w:rPr>
              <w:t xml:space="preserve"> </w:t>
            </w:r>
            <w:r w:rsidR="003E2D52" w:rsidRPr="003E2D52">
              <w:rPr>
                <w:sz w:val="18"/>
                <w:szCs w:val="18"/>
              </w:rPr>
              <w:t>Routes of transmission include contact</w:t>
            </w:r>
            <w:r w:rsidR="003E2D52">
              <w:rPr>
                <w:sz w:val="18"/>
                <w:szCs w:val="18"/>
              </w:rPr>
              <w:t xml:space="preserve"> and </w:t>
            </w:r>
            <w:r w:rsidR="003E2D52" w:rsidRPr="003E2D52">
              <w:rPr>
                <w:sz w:val="18"/>
                <w:szCs w:val="18"/>
              </w:rPr>
              <w:t>droplet</w:t>
            </w:r>
            <w:r w:rsidR="005B5A2E">
              <w:rPr>
                <w:sz w:val="18"/>
                <w:szCs w:val="18"/>
              </w:rPr>
              <w:t xml:space="preserve"> (primary);</w:t>
            </w:r>
            <w:r w:rsidR="003E2D52" w:rsidRPr="003E2D52">
              <w:rPr>
                <w:sz w:val="18"/>
                <w:szCs w:val="18"/>
              </w:rPr>
              <w:t xml:space="preserve"> airborne</w:t>
            </w:r>
            <w:r w:rsidR="003E2D52">
              <w:rPr>
                <w:sz w:val="18"/>
                <w:szCs w:val="18"/>
              </w:rPr>
              <w:t>;</w:t>
            </w:r>
            <w:r w:rsidR="003E2D52" w:rsidRPr="003E2D52">
              <w:rPr>
                <w:sz w:val="18"/>
                <w:szCs w:val="18"/>
              </w:rPr>
              <w:t xml:space="preserve"> fomite; mother-to-child, and other possible modes.</w:t>
            </w:r>
            <w:r w:rsidR="005B5A2E">
              <w:rPr>
                <w:sz w:val="18"/>
                <w:szCs w:val="18"/>
              </w:rPr>
              <w:t xml:space="preserve"> </w:t>
            </w:r>
            <w:r w:rsidR="009C7AA3">
              <w:rPr>
                <w:sz w:val="18"/>
                <w:szCs w:val="18"/>
              </w:rPr>
              <w:t>A basic reproductive number (</w:t>
            </w:r>
            <w:r w:rsidR="00EC51AA">
              <w:rPr>
                <w:sz w:val="18"/>
                <w:szCs w:val="18"/>
              </w:rPr>
              <w:t>R</w:t>
            </w:r>
            <w:r w:rsidR="00EC51AA">
              <w:rPr>
                <w:sz w:val="18"/>
                <w:szCs w:val="18"/>
                <w:vertAlign w:val="subscript"/>
              </w:rPr>
              <w:t>0</w:t>
            </w:r>
            <w:r w:rsidR="009C7AA3">
              <w:rPr>
                <w:sz w:val="18"/>
                <w:szCs w:val="18"/>
              </w:rPr>
              <w:t>) f</w:t>
            </w:r>
            <w:r w:rsidR="00EC51AA">
              <w:rPr>
                <w:sz w:val="18"/>
                <w:szCs w:val="18"/>
              </w:rPr>
              <w:t xml:space="preserve">or COVID-19 is estimated to be between 2 and 4. The crude </w:t>
            </w:r>
            <w:r w:rsidR="00BC04DD">
              <w:rPr>
                <w:sz w:val="18"/>
                <w:szCs w:val="18"/>
              </w:rPr>
              <w:t xml:space="preserve">global </w:t>
            </w:r>
            <w:r w:rsidR="00EC51AA">
              <w:rPr>
                <w:sz w:val="18"/>
                <w:szCs w:val="18"/>
              </w:rPr>
              <w:t xml:space="preserve">case fatality ratio is roughly </w:t>
            </w:r>
            <w:r w:rsidR="00643292">
              <w:rPr>
                <w:sz w:val="18"/>
                <w:szCs w:val="18"/>
              </w:rPr>
              <w:t>3</w:t>
            </w:r>
            <w:r w:rsidR="00EC51AA">
              <w:rPr>
                <w:sz w:val="18"/>
                <w:szCs w:val="18"/>
              </w:rPr>
              <w:t>%</w:t>
            </w:r>
            <w:r w:rsidR="009A0E79">
              <w:rPr>
                <w:sz w:val="18"/>
                <w:szCs w:val="18"/>
              </w:rPr>
              <w:t xml:space="preserve"> and varies widely between countries, from less than 0.1% to over 25%.</w:t>
            </w:r>
          </w:p>
        </w:tc>
        <w:tc>
          <w:tcPr>
            <w:tcW w:w="3674" w:type="dxa"/>
            <w:tcBorders>
              <w:bottom w:val="single" w:sz="4" w:space="0" w:color="000000"/>
            </w:tcBorders>
          </w:tcPr>
          <w:p w14:paraId="344D74A8" w14:textId="77777777" w:rsidR="001A146E" w:rsidRDefault="001A146E"/>
        </w:tc>
        <w:tc>
          <w:tcPr>
            <w:tcW w:w="3420" w:type="dxa"/>
            <w:tcBorders>
              <w:bottom w:val="single" w:sz="4" w:space="0" w:color="000000"/>
              <w:right w:val="single" w:sz="24" w:space="0" w:color="000000"/>
            </w:tcBorders>
          </w:tcPr>
          <w:p w14:paraId="41DB8184" w14:textId="7E0D9CCF" w:rsidR="006C68B8" w:rsidRPr="003B6405" w:rsidRDefault="006C68B8" w:rsidP="006C68B8">
            <w:pPr>
              <w:rPr>
                <w:sz w:val="18"/>
                <w:szCs w:val="18"/>
              </w:rPr>
            </w:pPr>
            <w:r w:rsidRPr="003B6405">
              <w:rPr>
                <w:sz w:val="18"/>
                <w:szCs w:val="18"/>
              </w:rPr>
              <w:t xml:space="preserve">Yu P et al. J Infect Dis 2020;221:1757, </w:t>
            </w:r>
            <w:proofErr w:type="spellStart"/>
            <w:r w:rsidRPr="003B6405">
              <w:rPr>
                <w:sz w:val="18"/>
                <w:szCs w:val="18"/>
              </w:rPr>
              <w:t>doi</w:t>
            </w:r>
            <w:proofErr w:type="spellEnd"/>
            <w:r w:rsidRPr="003B6405">
              <w:rPr>
                <w:sz w:val="18"/>
                <w:szCs w:val="18"/>
              </w:rPr>
              <w:t>: 10.1093/</w:t>
            </w:r>
            <w:proofErr w:type="spellStart"/>
            <w:r w:rsidRPr="003B6405">
              <w:rPr>
                <w:sz w:val="18"/>
                <w:szCs w:val="18"/>
              </w:rPr>
              <w:t>infdis</w:t>
            </w:r>
            <w:proofErr w:type="spellEnd"/>
            <w:r w:rsidRPr="003B6405">
              <w:rPr>
                <w:sz w:val="18"/>
                <w:szCs w:val="18"/>
              </w:rPr>
              <w:t>/jiaa077</w:t>
            </w:r>
          </w:p>
          <w:p w14:paraId="58DB0FD4" w14:textId="77777777" w:rsidR="003B6405" w:rsidRPr="003B6405" w:rsidRDefault="006C68B8" w:rsidP="003B6405">
            <w:pPr>
              <w:rPr>
                <w:sz w:val="18"/>
                <w:szCs w:val="18"/>
              </w:rPr>
            </w:pPr>
            <w:r w:rsidRPr="003B6405">
              <w:rPr>
                <w:sz w:val="18"/>
                <w:szCs w:val="18"/>
              </w:rPr>
              <w:t xml:space="preserve">Lauer SA et al. Ann Int Med 2020;172:577, </w:t>
            </w:r>
            <w:proofErr w:type="spellStart"/>
            <w:r w:rsidRPr="003B6405">
              <w:rPr>
                <w:sz w:val="18"/>
                <w:szCs w:val="18"/>
              </w:rPr>
              <w:t>doi</w:t>
            </w:r>
            <w:proofErr w:type="spellEnd"/>
            <w:r w:rsidRPr="003B6405">
              <w:rPr>
                <w:sz w:val="18"/>
                <w:szCs w:val="18"/>
              </w:rPr>
              <w:t>: 10.7326/M20-0504</w:t>
            </w:r>
          </w:p>
          <w:p w14:paraId="37788569" w14:textId="77777777" w:rsidR="00A639EA" w:rsidRDefault="003B6405" w:rsidP="00003CAC">
            <w:pPr>
              <w:rPr>
                <w:sz w:val="18"/>
                <w:szCs w:val="18"/>
              </w:rPr>
            </w:pPr>
            <w:r w:rsidRPr="003B6405">
              <w:rPr>
                <w:color w:val="000000"/>
                <w:sz w:val="18"/>
                <w:szCs w:val="18"/>
              </w:rPr>
              <w:t>Cheng HW</w:t>
            </w:r>
            <w:r w:rsidR="00003CAC">
              <w:rPr>
                <w:color w:val="000000"/>
                <w:sz w:val="18"/>
                <w:szCs w:val="18"/>
              </w:rPr>
              <w:t xml:space="preserve"> et al. </w:t>
            </w:r>
            <w:r w:rsidRPr="00A639EA">
              <w:rPr>
                <w:rStyle w:val="Emphasis"/>
                <w:i w:val="0"/>
                <w:iCs w:val="0"/>
                <w:color w:val="000000"/>
                <w:sz w:val="18"/>
                <w:szCs w:val="18"/>
              </w:rPr>
              <w:t>JAMA Intern Med</w:t>
            </w:r>
            <w:r w:rsidRPr="003B6405">
              <w:rPr>
                <w:color w:val="000000"/>
                <w:sz w:val="18"/>
                <w:szCs w:val="18"/>
              </w:rPr>
              <w:t> 2020</w:t>
            </w:r>
            <w:r w:rsidR="00BD550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B6405">
              <w:rPr>
                <w:color w:val="000000"/>
                <w:sz w:val="18"/>
                <w:szCs w:val="18"/>
              </w:rPr>
              <w:t>doi</w:t>
            </w:r>
            <w:proofErr w:type="spellEnd"/>
            <w:r w:rsidRPr="003B6405">
              <w:rPr>
                <w:color w:val="000000"/>
                <w:sz w:val="18"/>
                <w:szCs w:val="18"/>
              </w:rPr>
              <w:t>:</w:t>
            </w:r>
            <w:r w:rsidR="00BD5505">
              <w:rPr>
                <w:color w:val="000000"/>
                <w:sz w:val="18"/>
                <w:szCs w:val="18"/>
              </w:rPr>
              <w:t xml:space="preserve"> </w:t>
            </w:r>
            <w:r w:rsidRPr="003B6405">
              <w:rPr>
                <w:color w:val="000000"/>
                <w:sz w:val="18"/>
                <w:szCs w:val="18"/>
              </w:rPr>
              <w:t>10.1001/jamainternmed.2020.2020</w:t>
            </w:r>
          </w:p>
          <w:p w14:paraId="50C93224" w14:textId="71507A80" w:rsidR="00003CAC" w:rsidRPr="00A639EA" w:rsidRDefault="00003CAC" w:rsidP="00003CAC">
            <w:pPr>
              <w:rPr>
                <w:sz w:val="18"/>
                <w:szCs w:val="18"/>
              </w:rPr>
            </w:pPr>
            <w:r w:rsidRPr="00BD5505">
              <w:rPr>
                <w:color w:val="000000"/>
                <w:sz w:val="18"/>
                <w:szCs w:val="18"/>
              </w:rPr>
              <w:t xml:space="preserve">van </w:t>
            </w:r>
            <w:proofErr w:type="spellStart"/>
            <w:r w:rsidRPr="00BD5505">
              <w:rPr>
                <w:color w:val="000000"/>
                <w:sz w:val="18"/>
                <w:szCs w:val="18"/>
              </w:rPr>
              <w:t>Kampen</w:t>
            </w:r>
            <w:proofErr w:type="spellEnd"/>
            <w:r w:rsidRPr="00BD5505">
              <w:rPr>
                <w:color w:val="000000"/>
                <w:sz w:val="18"/>
                <w:szCs w:val="18"/>
              </w:rPr>
              <w:t xml:space="preserve"> J </w:t>
            </w:r>
            <w:r w:rsidR="00BD5505">
              <w:rPr>
                <w:color w:val="000000"/>
                <w:sz w:val="18"/>
                <w:szCs w:val="18"/>
              </w:rPr>
              <w:t>et al.</w:t>
            </w:r>
            <w:r w:rsidRPr="00BD5505">
              <w:rPr>
                <w:color w:val="000000"/>
                <w:sz w:val="18"/>
                <w:szCs w:val="18"/>
              </w:rPr>
              <w:t xml:space="preserve"> Available at: </w:t>
            </w:r>
            <w:hyperlink r:id="rId15" w:history="1">
              <w:r w:rsidRPr="00BD5505">
                <w:rPr>
                  <w:rStyle w:val="Hyperlink"/>
                  <w:color w:val="075290"/>
                  <w:sz w:val="18"/>
                  <w:szCs w:val="18"/>
                </w:rPr>
                <w:t>https://www.medrxiv.org/content/10.1101/2020.06.08.20125310v1</w:t>
              </w:r>
              <w:r w:rsidRPr="00BD5505">
                <w:rPr>
                  <w:rStyle w:val="sr-only"/>
                  <w:color w:val="075290"/>
                  <w:sz w:val="18"/>
                  <w:szCs w:val="18"/>
                  <w:u w:val="single"/>
                  <w:bdr w:val="none" w:sz="0" w:space="0" w:color="auto" w:frame="1"/>
                </w:rPr>
                <w:t>external icon</w:t>
              </w:r>
            </w:hyperlink>
            <w:r w:rsidR="00BD5505">
              <w:rPr>
                <w:color w:val="000000"/>
                <w:sz w:val="18"/>
                <w:szCs w:val="18"/>
              </w:rPr>
              <w:t>,</w:t>
            </w:r>
            <w:r w:rsidRPr="00BD5505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BD5505">
              <w:rPr>
                <w:color w:val="000000"/>
                <w:sz w:val="18"/>
                <w:szCs w:val="18"/>
              </w:rPr>
              <w:t>doi</w:t>
            </w:r>
            <w:proofErr w:type="spellEnd"/>
            <w:r w:rsidR="00BD5505">
              <w:rPr>
                <w:color w:val="000000"/>
                <w:sz w:val="18"/>
                <w:szCs w:val="18"/>
              </w:rPr>
              <w:t xml:space="preserve">: </w:t>
            </w:r>
            <w:r w:rsidRPr="00BD5505">
              <w:rPr>
                <w:color w:val="000000"/>
                <w:sz w:val="18"/>
                <w:szCs w:val="18"/>
              </w:rPr>
              <w:t>10.1101/2020.06.08.20125310</w:t>
            </w:r>
          </w:p>
          <w:p w14:paraId="21B62182" w14:textId="65576716" w:rsidR="00167FC1" w:rsidRDefault="00167FC1" w:rsidP="00003C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CDC. Available at: </w:t>
            </w:r>
            <w:hyperlink r:id="rId16" w:history="1">
              <w:r w:rsidRPr="00AB5B02">
                <w:rPr>
                  <w:rStyle w:val="Hyperlink"/>
                  <w:sz w:val="18"/>
                  <w:szCs w:val="18"/>
                </w:rPr>
                <w:t>https://www.cdc.gov/coronavirus/2019-ncov/hcp/planning-scenarios.html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7498116" w14:textId="48E48F78" w:rsidR="009A0E79" w:rsidRPr="00BD5505" w:rsidRDefault="009A0E79" w:rsidP="00003CAC">
            <w:pPr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WHO.</w:t>
            </w:r>
            <w:proofErr w:type="gramEnd"/>
            <w:r w:rsidR="00D431E2">
              <w:rPr>
                <w:color w:val="000000"/>
                <w:sz w:val="18"/>
                <w:szCs w:val="18"/>
              </w:rPr>
              <w:t xml:space="preserve"> Available at: </w:t>
            </w:r>
            <w:hyperlink r:id="rId17" w:history="1">
              <w:r w:rsidR="00D431E2" w:rsidRPr="00AB5B02">
                <w:rPr>
                  <w:rStyle w:val="Hyperlink"/>
                  <w:sz w:val="18"/>
                  <w:szCs w:val="18"/>
                </w:rPr>
                <w:t>https://www.who.int/news-room/commentaries/detail/estimating-mortality-from-covid-19</w:t>
              </w:r>
            </w:hyperlink>
            <w:r w:rsidR="00D431E2">
              <w:rPr>
                <w:color w:val="000000"/>
                <w:sz w:val="18"/>
                <w:szCs w:val="18"/>
              </w:rPr>
              <w:t xml:space="preserve"> </w:t>
            </w:r>
          </w:p>
          <w:p w14:paraId="519564A5" w14:textId="77777777" w:rsidR="00003CAC" w:rsidRDefault="00003CAC" w:rsidP="00003CAC"/>
          <w:p w14:paraId="1A8130DE" w14:textId="77777777" w:rsidR="001A146E" w:rsidRPr="003B6405" w:rsidRDefault="001A146E">
            <w:pPr>
              <w:rPr>
                <w:sz w:val="18"/>
                <w:szCs w:val="18"/>
              </w:rPr>
            </w:pPr>
          </w:p>
        </w:tc>
      </w:tr>
      <w:tr w:rsidR="001A146E" w14:paraId="259C7462" w14:textId="77777777">
        <w:tc>
          <w:tcPr>
            <w:tcW w:w="3969" w:type="dxa"/>
            <w:tcBorders>
              <w:left w:val="single" w:sz="24" w:space="0" w:color="000000"/>
              <w:bottom w:val="single" w:sz="4" w:space="0" w:color="000000"/>
            </w:tcBorders>
          </w:tcPr>
          <w:p w14:paraId="4F47F037" w14:textId="77777777" w:rsidR="001A146E" w:rsidRDefault="00496BD2">
            <w:pPr>
              <w:tabs>
                <w:tab w:val="left" w:pos="44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5.4 </w:t>
            </w:r>
            <w:r>
              <w:rPr>
                <w:sz w:val="22"/>
                <w:szCs w:val="22"/>
              </w:rPr>
              <w:t>What sections of the population are most affected by the target pathogen (e.g. pediatric, pregnant, lactating women (breast feeding), adult, elderly)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50508E6F" w14:textId="56056C16" w:rsidR="007D2D02" w:rsidRPr="007D2D02" w:rsidRDefault="00354399" w:rsidP="007D2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sz w:val="18"/>
                <w:szCs w:val="18"/>
              </w:rPr>
              <w:t>Data indicating that infants, older adults, pregnant women, and persons with certain medical conditions</w:t>
            </w:r>
            <w:r w:rsidR="00CF73C2">
              <w:rPr>
                <w:sz w:val="18"/>
                <w:szCs w:val="18"/>
              </w:rPr>
              <w:t xml:space="preserve"> or with </w:t>
            </w:r>
            <w:r w:rsidR="00443BE7">
              <w:rPr>
                <w:sz w:val="18"/>
                <w:szCs w:val="18"/>
              </w:rPr>
              <w:t>multi-morbidities</w:t>
            </w:r>
            <w:r>
              <w:rPr>
                <w:sz w:val="18"/>
                <w:szCs w:val="18"/>
              </w:rPr>
              <w:t xml:space="preserve"> (see 5.2) are at increased risk for severe illness from COVID-19.</w:t>
            </w:r>
            <w:r w:rsidR="00443BE7">
              <w:rPr>
                <w:sz w:val="18"/>
                <w:szCs w:val="18"/>
              </w:rPr>
              <w:t xml:space="preserve"> </w:t>
            </w:r>
            <w:r w:rsidR="007D2D02" w:rsidRPr="007D2D02">
              <w:rPr>
                <w:rStyle w:val="normaltextrun"/>
                <w:sz w:val="18"/>
                <w:szCs w:val="18"/>
              </w:rPr>
              <w:t>Men with C</w:t>
            </w:r>
            <w:r w:rsidR="007D2D02">
              <w:rPr>
                <w:rStyle w:val="normaltextrun"/>
                <w:sz w:val="18"/>
                <w:szCs w:val="18"/>
              </w:rPr>
              <w:t>OVID</w:t>
            </w:r>
            <w:r w:rsidR="007D2D02" w:rsidRPr="007D2D02">
              <w:rPr>
                <w:rStyle w:val="normaltextrun"/>
                <w:sz w:val="18"/>
                <w:szCs w:val="18"/>
              </w:rPr>
              <w:t>-19 have higher risk of all-cause death, severe</w:t>
            </w:r>
            <w:r w:rsidR="007D2D02">
              <w:rPr>
                <w:rStyle w:val="normaltextrun"/>
                <w:sz w:val="18"/>
                <w:szCs w:val="18"/>
              </w:rPr>
              <w:t xml:space="preserve"> </w:t>
            </w:r>
            <w:r w:rsidR="007D2D02" w:rsidRPr="007D2D02">
              <w:rPr>
                <w:rStyle w:val="normaltextrun"/>
                <w:sz w:val="18"/>
                <w:szCs w:val="18"/>
              </w:rPr>
              <w:t>infection, or ICU admission than women</w:t>
            </w:r>
            <w:r w:rsidR="007D2D02">
              <w:rPr>
                <w:rStyle w:val="normaltextrun"/>
                <w:sz w:val="18"/>
                <w:szCs w:val="18"/>
              </w:rPr>
              <w:t>; t</w:t>
            </w:r>
            <w:r w:rsidR="007D2D02" w:rsidRPr="007D2D02">
              <w:rPr>
                <w:rStyle w:val="normaltextrun"/>
                <w:sz w:val="18"/>
                <w:szCs w:val="18"/>
              </w:rPr>
              <w:t xml:space="preserve">he excess risk </w:t>
            </w:r>
            <w:r w:rsidR="005B32DA">
              <w:rPr>
                <w:rStyle w:val="normaltextrun"/>
                <w:sz w:val="18"/>
                <w:szCs w:val="18"/>
              </w:rPr>
              <w:t>i</w:t>
            </w:r>
            <w:r w:rsidR="007D2D02" w:rsidRPr="007D2D02">
              <w:rPr>
                <w:rStyle w:val="normaltextrun"/>
                <w:sz w:val="18"/>
                <w:szCs w:val="18"/>
              </w:rPr>
              <w:t>s not explained by age and comorbidities.</w:t>
            </w:r>
          </w:p>
          <w:p w14:paraId="15D75A2E" w14:textId="0B5A3146" w:rsidR="001A146E" w:rsidRPr="00D85B4D" w:rsidRDefault="00443BE7" w:rsidP="00D85B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Race and ethnicity are </w:t>
            </w:r>
            <w:r w:rsidR="007D2D02">
              <w:rPr>
                <w:sz w:val="18"/>
                <w:szCs w:val="18"/>
              </w:rPr>
              <w:t xml:space="preserve">also </w:t>
            </w:r>
            <w:r>
              <w:rPr>
                <w:sz w:val="18"/>
                <w:szCs w:val="18"/>
              </w:rPr>
              <w:t xml:space="preserve">risk factors for severe illness. </w:t>
            </w:r>
            <w:r>
              <w:rPr>
                <w:rStyle w:val="normaltextrun"/>
                <w:sz w:val="18"/>
                <w:szCs w:val="18"/>
              </w:rPr>
              <w:t>American Indian, Alaska Natives,</w:t>
            </w:r>
            <w:r w:rsidR="00D85B4D">
              <w:rPr>
                <w:rStyle w:val="normaltextrun"/>
                <w:sz w:val="18"/>
                <w:szCs w:val="18"/>
              </w:rPr>
              <w:t xml:space="preserve"> Asian, Black or African American, and Hispanic or Latino</w:t>
            </w:r>
            <w:r>
              <w:rPr>
                <w:rStyle w:val="normaltextrun"/>
                <w:sz w:val="18"/>
                <w:szCs w:val="18"/>
              </w:rPr>
              <w:t xml:space="preserve"> are </w:t>
            </w:r>
            <w:r w:rsidR="00D85B4D">
              <w:rPr>
                <w:rStyle w:val="normaltextrun"/>
                <w:sz w:val="18"/>
                <w:szCs w:val="18"/>
              </w:rPr>
              <w:t>at higher risk for illness, hospitalization, and death compared with White, Non-Hispanic Persons.</w:t>
            </w:r>
          </w:p>
        </w:tc>
        <w:tc>
          <w:tcPr>
            <w:tcW w:w="3674" w:type="dxa"/>
            <w:tcBorders>
              <w:bottom w:val="single" w:sz="4" w:space="0" w:color="000000"/>
            </w:tcBorders>
          </w:tcPr>
          <w:p w14:paraId="01AB5548" w14:textId="77777777" w:rsidR="001A146E" w:rsidRDefault="001A146E"/>
        </w:tc>
        <w:tc>
          <w:tcPr>
            <w:tcW w:w="3420" w:type="dxa"/>
            <w:tcBorders>
              <w:bottom w:val="single" w:sz="4" w:space="0" w:color="000000"/>
              <w:right w:val="single" w:sz="24" w:space="0" w:color="000000"/>
            </w:tcBorders>
          </w:tcPr>
          <w:p w14:paraId="5327432B" w14:textId="1D880CB2" w:rsidR="00143B17" w:rsidRDefault="00143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Griffith DM et al. </w:t>
            </w:r>
            <w:proofErr w:type="spellStart"/>
            <w:r>
              <w:rPr>
                <w:sz w:val="18"/>
                <w:szCs w:val="18"/>
              </w:rPr>
              <w:t>Prev</w:t>
            </w:r>
            <w:proofErr w:type="spellEnd"/>
            <w:r>
              <w:rPr>
                <w:sz w:val="18"/>
                <w:szCs w:val="18"/>
              </w:rPr>
              <w:t xml:space="preserve"> Chronic Dis 2020;17:200247, </w:t>
            </w:r>
            <w:proofErr w:type="spellStart"/>
            <w:r>
              <w:rPr>
                <w:sz w:val="18"/>
                <w:szCs w:val="18"/>
              </w:rPr>
              <w:t>doi</w:t>
            </w:r>
            <w:proofErr w:type="spellEnd"/>
            <w:r>
              <w:rPr>
                <w:sz w:val="18"/>
                <w:szCs w:val="18"/>
              </w:rPr>
              <w:t>: 10.5888/pcd17.200247.</w:t>
            </w:r>
          </w:p>
          <w:p w14:paraId="24F351F9" w14:textId="32466F44" w:rsidR="001A146E" w:rsidRDefault="00443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CDC. Available at: </w:t>
            </w:r>
            <w:hyperlink r:id="rId18" w:history="1">
              <w:r w:rsidRPr="00AB5B02">
                <w:rPr>
                  <w:rStyle w:val="Hyperlink"/>
                  <w:sz w:val="18"/>
                  <w:szCs w:val="18"/>
                </w:rPr>
                <w:t>https://www.cdc.gov/coronavirus/2019-ncov/covid-data/investigations-discovery/hospitalization-death-by-race-ethnicity.html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1A146E" w14:paraId="55612606" w14:textId="77777777">
        <w:tc>
          <w:tcPr>
            <w:tcW w:w="3969" w:type="dxa"/>
            <w:tcBorders>
              <w:left w:val="single" w:sz="24" w:space="0" w:color="000000"/>
              <w:bottom w:val="single" w:sz="4" w:space="0" w:color="000000"/>
            </w:tcBorders>
          </w:tcPr>
          <w:p w14:paraId="7E29A38C" w14:textId="77777777" w:rsidR="001A146E" w:rsidRDefault="00496BD2">
            <w:pPr>
              <w:tabs>
                <w:tab w:val="left" w:pos="44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5.5</w:t>
            </w:r>
            <w:r>
              <w:rPr>
                <w:sz w:val="22"/>
                <w:szCs w:val="22"/>
              </w:rPr>
              <w:t xml:space="preserve"> What is known about the correlates of protective immunity to the target pathogen or to the disease?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1E742ACC" w14:textId="3953503A" w:rsidR="001A146E" w:rsidRPr="005C3EB4" w:rsidRDefault="00BB79CA" w:rsidP="00241C11">
            <w:pPr>
              <w:rPr>
                <w:sz w:val="18"/>
                <w:szCs w:val="18"/>
              </w:rPr>
            </w:pPr>
            <w:r w:rsidRPr="005C3EB4">
              <w:rPr>
                <w:sz w:val="18"/>
                <w:szCs w:val="18"/>
              </w:rPr>
              <w:t xml:space="preserve">Challenge studies with other human coronavirus indicate multiple candidates (serum IgG, IgA, neutralizing titer, and mucosal IgA) that may serve as correlates of protection. </w:t>
            </w:r>
            <w:r w:rsidR="006144C3">
              <w:rPr>
                <w:sz w:val="18"/>
                <w:szCs w:val="18"/>
              </w:rPr>
              <w:t>I</w:t>
            </w:r>
            <w:r w:rsidR="00530A00" w:rsidRPr="005C3EB4">
              <w:rPr>
                <w:sz w:val="18"/>
                <w:szCs w:val="18"/>
              </w:rPr>
              <w:t xml:space="preserve">n animal models, </w:t>
            </w:r>
            <w:r w:rsidR="002F5B9A">
              <w:rPr>
                <w:sz w:val="18"/>
                <w:szCs w:val="18"/>
              </w:rPr>
              <w:t xml:space="preserve">elicitation of high titers of </w:t>
            </w:r>
            <w:r w:rsidR="00530A00" w:rsidRPr="005C3EB4">
              <w:rPr>
                <w:sz w:val="18"/>
                <w:szCs w:val="18"/>
              </w:rPr>
              <w:t xml:space="preserve">neutralizing antibodies targeting the receptor binding domain (RBD) of the spike (S) protein are protective against </w:t>
            </w:r>
            <w:r w:rsidR="002F5B9A">
              <w:rPr>
                <w:sz w:val="18"/>
                <w:szCs w:val="18"/>
              </w:rPr>
              <w:t xml:space="preserve">re-challenge with </w:t>
            </w:r>
            <w:r w:rsidR="00530A00" w:rsidRPr="005C3EB4">
              <w:rPr>
                <w:sz w:val="18"/>
                <w:szCs w:val="18"/>
              </w:rPr>
              <w:t xml:space="preserve">SARS-CoV-2. </w:t>
            </w:r>
            <w:r w:rsidR="00B251DB">
              <w:rPr>
                <w:sz w:val="18"/>
                <w:szCs w:val="18"/>
              </w:rPr>
              <w:t>C</w:t>
            </w:r>
            <w:r w:rsidR="00B251DB" w:rsidRPr="005C3EB4">
              <w:rPr>
                <w:sz w:val="18"/>
                <w:szCs w:val="18"/>
              </w:rPr>
              <w:t>orrelates of protection</w:t>
            </w:r>
            <w:r w:rsidR="007D3806">
              <w:rPr>
                <w:sz w:val="18"/>
                <w:szCs w:val="18"/>
              </w:rPr>
              <w:t xml:space="preserve"> and </w:t>
            </w:r>
            <w:r w:rsidR="007D3806">
              <w:rPr>
                <w:sz w:val="18"/>
                <w:szCs w:val="18"/>
              </w:rPr>
              <w:lastRenderedPageBreak/>
              <w:t>their durability</w:t>
            </w:r>
            <w:r w:rsidR="00B251DB">
              <w:rPr>
                <w:sz w:val="18"/>
                <w:szCs w:val="18"/>
              </w:rPr>
              <w:t>, however,</w:t>
            </w:r>
            <w:r w:rsidR="00B251DB" w:rsidRPr="005C3EB4">
              <w:rPr>
                <w:sz w:val="18"/>
                <w:szCs w:val="18"/>
              </w:rPr>
              <w:t xml:space="preserve"> have not been established in humans</w:t>
            </w:r>
            <w:r w:rsidR="001152E8">
              <w:rPr>
                <w:sz w:val="18"/>
                <w:szCs w:val="18"/>
              </w:rPr>
              <w:t>.</w:t>
            </w:r>
          </w:p>
        </w:tc>
        <w:tc>
          <w:tcPr>
            <w:tcW w:w="3674" w:type="dxa"/>
            <w:tcBorders>
              <w:bottom w:val="single" w:sz="4" w:space="0" w:color="000000"/>
            </w:tcBorders>
          </w:tcPr>
          <w:p w14:paraId="699A8E2D" w14:textId="1050B276" w:rsidR="001A146E" w:rsidRDefault="00E73E76">
            <w:r>
              <w:rPr>
                <w:sz w:val="18"/>
                <w:szCs w:val="18"/>
              </w:rPr>
              <w:lastRenderedPageBreak/>
              <w:t>I</w:t>
            </w:r>
            <w:r w:rsidRPr="005C3EB4">
              <w:rPr>
                <w:sz w:val="18"/>
                <w:szCs w:val="18"/>
              </w:rPr>
              <w:t>n a</w:t>
            </w:r>
            <w:r>
              <w:rPr>
                <w:sz w:val="18"/>
                <w:szCs w:val="18"/>
              </w:rPr>
              <w:t xml:space="preserve">n </w:t>
            </w:r>
            <w:r w:rsidRPr="005C3EB4">
              <w:rPr>
                <w:sz w:val="18"/>
                <w:szCs w:val="18"/>
              </w:rPr>
              <w:t xml:space="preserve">outbreak </w:t>
            </w:r>
            <w:r>
              <w:rPr>
                <w:sz w:val="18"/>
                <w:szCs w:val="18"/>
              </w:rPr>
              <w:t xml:space="preserve">of SARS-CoV-2 on a fishing vessel with </w:t>
            </w:r>
            <w:r w:rsidRPr="005C3EB4">
              <w:rPr>
                <w:sz w:val="18"/>
                <w:szCs w:val="18"/>
              </w:rPr>
              <w:t xml:space="preserve">high </w:t>
            </w:r>
            <w:r>
              <w:rPr>
                <w:sz w:val="18"/>
                <w:szCs w:val="18"/>
              </w:rPr>
              <w:t xml:space="preserve">(&gt;85%) </w:t>
            </w:r>
            <w:r w:rsidRPr="005C3EB4">
              <w:rPr>
                <w:sz w:val="18"/>
                <w:szCs w:val="18"/>
              </w:rPr>
              <w:t>attach rate,</w:t>
            </w:r>
            <w:r w:rsidR="00072001">
              <w:rPr>
                <w:sz w:val="18"/>
                <w:szCs w:val="18"/>
              </w:rPr>
              <w:t xml:space="preserve"> </w:t>
            </w:r>
            <w:r w:rsidRPr="005C3EB4">
              <w:rPr>
                <w:sz w:val="18"/>
                <w:szCs w:val="18"/>
              </w:rPr>
              <w:t>neutralizing antibodies correlate with protection from SARS-CoV-2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24" w:space="0" w:color="000000"/>
            </w:tcBorders>
          </w:tcPr>
          <w:p w14:paraId="2CEAF800" w14:textId="77777777" w:rsidR="00BB79CA" w:rsidRDefault="00BB79CA" w:rsidP="00BB7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Huang AT, et al. Nat </w:t>
            </w:r>
            <w:proofErr w:type="spellStart"/>
            <w:r>
              <w:rPr>
                <w:sz w:val="18"/>
                <w:szCs w:val="18"/>
              </w:rPr>
              <w:t>Commun</w:t>
            </w:r>
            <w:proofErr w:type="spellEnd"/>
            <w:r>
              <w:rPr>
                <w:sz w:val="18"/>
                <w:szCs w:val="18"/>
              </w:rPr>
              <w:t xml:space="preserve"> 2020;11:4704, </w:t>
            </w:r>
            <w:proofErr w:type="spellStart"/>
            <w:r>
              <w:rPr>
                <w:sz w:val="18"/>
                <w:szCs w:val="18"/>
              </w:rPr>
              <w:t>doi</w:t>
            </w:r>
            <w:proofErr w:type="spellEnd"/>
            <w:r>
              <w:rPr>
                <w:sz w:val="18"/>
                <w:szCs w:val="18"/>
              </w:rPr>
              <w:t>: 10.1038/s41467-020-18450-4</w:t>
            </w:r>
          </w:p>
          <w:p w14:paraId="2310ABB2" w14:textId="12078353" w:rsidR="00530A00" w:rsidRDefault="00530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Rogers TF et al. Science 2020;369:956, </w:t>
            </w:r>
            <w:proofErr w:type="spellStart"/>
            <w:r>
              <w:rPr>
                <w:sz w:val="18"/>
                <w:szCs w:val="18"/>
              </w:rPr>
              <w:t>doi</w:t>
            </w:r>
            <w:proofErr w:type="spellEnd"/>
            <w:r>
              <w:rPr>
                <w:sz w:val="18"/>
                <w:szCs w:val="18"/>
              </w:rPr>
              <w:t>: 10.1126/science.abs7520</w:t>
            </w:r>
          </w:p>
          <w:p w14:paraId="1D415DB9" w14:textId="0B0D1E5F" w:rsidR="00530A00" w:rsidRDefault="00530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Addetia</w:t>
            </w:r>
            <w:proofErr w:type="spellEnd"/>
            <w:r>
              <w:rPr>
                <w:sz w:val="18"/>
                <w:szCs w:val="18"/>
              </w:rPr>
              <w:t xml:space="preserve"> A et al. </w:t>
            </w:r>
            <w:proofErr w:type="spellStart"/>
            <w:r>
              <w:rPr>
                <w:sz w:val="18"/>
                <w:szCs w:val="18"/>
              </w:rPr>
              <w:t>medRixiv</w:t>
            </w:r>
            <w:proofErr w:type="spellEnd"/>
            <w:r>
              <w:rPr>
                <w:sz w:val="18"/>
                <w:szCs w:val="18"/>
              </w:rPr>
              <w:t xml:space="preserve"> 2020. Available at: </w:t>
            </w:r>
            <w:hyperlink r:id="rId19" w:history="1">
              <w:r w:rsidRPr="00AB5B02">
                <w:rPr>
                  <w:rStyle w:val="Hyperlink"/>
                  <w:sz w:val="18"/>
                  <w:szCs w:val="18"/>
                </w:rPr>
                <w:t>https://www.medrxiv.org/content/10.1101/2020.08.13.20173161v1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694D4BC8" w14:textId="33094170" w:rsidR="0032502F" w:rsidRDefault="0032502F" w:rsidP="00BB79CA">
            <w:pPr>
              <w:rPr>
                <w:sz w:val="18"/>
                <w:szCs w:val="18"/>
              </w:rPr>
            </w:pPr>
          </w:p>
        </w:tc>
      </w:tr>
      <w:tr w:rsidR="001A146E" w14:paraId="51D807F1" w14:textId="77777777">
        <w:tc>
          <w:tcPr>
            <w:tcW w:w="3969" w:type="dxa"/>
            <w:tcBorders>
              <w:left w:val="single" w:sz="24" w:space="0" w:color="000000"/>
              <w:bottom w:val="single" w:sz="4" w:space="0" w:color="000000"/>
            </w:tcBorders>
          </w:tcPr>
          <w:p w14:paraId="0AFCA360" w14:textId="77777777" w:rsidR="001A146E" w:rsidRDefault="00496BD2">
            <w:pPr>
              <w:tabs>
                <w:tab w:val="left" w:pos="447"/>
              </w:tabs>
            </w:pPr>
            <w:r>
              <w:rPr>
                <w:b/>
                <w:sz w:val="22"/>
                <w:szCs w:val="22"/>
              </w:rPr>
              <w:t xml:space="preserve">5.6 </w:t>
            </w:r>
            <w:r>
              <w:rPr>
                <w:sz w:val="22"/>
                <w:szCs w:val="22"/>
              </w:rPr>
              <w:t>Please describe any other key information about the target pathogen or population that may inform benefit risk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191462A2" w14:textId="1CD44823" w:rsidR="000F26CE" w:rsidRPr="000F26CE" w:rsidRDefault="00605DA9" w:rsidP="00605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3674" w:type="dxa"/>
            <w:tcBorders>
              <w:bottom w:val="single" w:sz="4" w:space="0" w:color="000000"/>
            </w:tcBorders>
          </w:tcPr>
          <w:p w14:paraId="3E18A2A4" w14:textId="77777777" w:rsidR="001A146E" w:rsidRDefault="001A146E"/>
        </w:tc>
        <w:tc>
          <w:tcPr>
            <w:tcW w:w="3420" w:type="dxa"/>
            <w:tcBorders>
              <w:bottom w:val="single" w:sz="4" w:space="0" w:color="000000"/>
              <w:right w:val="single" w:sz="24" w:space="0" w:color="000000"/>
            </w:tcBorders>
          </w:tcPr>
          <w:p w14:paraId="5224337C" w14:textId="77777777" w:rsidR="001A146E" w:rsidRDefault="001A146E">
            <w:pPr>
              <w:rPr>
                <w:sz w:val="18"/>
                <w:szCs w:val="18"/>
              </w:rPr>
            </w:pPr>
          </w:p>
        </w:tc>
      </w:tr>
      <w:tr w:rsidR="001A146E" w14:paraId="264360D3" w14:textId="77777777">
        <w:tc>
          <w:tcPr>
            <w:tcW w:w="3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FF99"/>
          </w:tcPr>
          <w:p w14:paraId="07E53085" w14:textId="77777777" w:rsidR="001A146E" w:rsidRDefault="00496BD2">
            <w:pPr>
              <w:rPr>
                <w:b/>
              </w:rPr>
            </w:pPr>
            <w:r>
              <w:rPr>
                <w:b/>
              </w:rPr>
              <w:t>References</w:t>
            </w:r>
          </w:p>
        </w:tc>
        <w:tc>
          <w:tcPr>
            <w:tcW w:w="10071" w:type="dxa"/>
            <w:gridSpan w:val="3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99"/>
            <w:vAlign w:val="center"/>
          </w:tcPr>
          <w:p w14:paraId="06487F2C" w14:textId="4FB1D994" w:rsidR="001A146E" w:rsidRDefault="00496BD2" w:rsidP="002762AF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1A146E" w14:paraId="7ECB8F00" w14:textId="77777777">
        <w:tc>
          <w:tcPr>
            <w:tcW w:w="3969" w:type="dxa"/>
            <w:tcBorders>
              <w:top w:val="single" w:sz="24" w:space="0" w:color="000000"/>
              <w:left w:val="single" w:sz="24" w:space="0" w:color="000000"/>
            </w:tcBorders>
          </w:tcPr>
          <w:p w14:paraId="01E64E15" w14:textId="77777777" w:rsidR="001A146E" w:rsidRDefault="00496B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0071" w:type="dxa"/>
            <w:gridSpan w:val="3"/>
            <w:tcBorders>
              <w:top w:val="single" w:sz="24" w:space="0" w:color="000000"/>
              <w:right w:val="single" w:sz="24" w:space="0" w:color="000000"/>
            </w:tcBorders>
          </w:tcPr>
          <w:p w14:paraId="7B4E1D6B" w14:textId="77777777" w:rsidR="001A146E" w:rsidRDefault="001A146E"/>
        </w:tc>
      </w:tr>
      <w:tr w:rsidR="001A146E" w14:paraId="49705BDA" w14:textId="77777777">
        <w:tc>
          <w:tcPr>
            <w:tcW w:w="3969" w:type="dxa"/>
            <w:tcBorders>
              <w:left w:val="single" w:sz="24" w:space="0" w:color="000000"/>
            </w:tcBorders>
          </w:tcPr>
          <w:p w14:paraId="6239F0F4" w14:textId="77777777" w:rsidR="001A146E" w:rsidRDefault="00496B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0071" w:type="dxa"/>
            <w:gridSpan w:val="3"/>
            <w:tcBorders>
              <w:right w:val="single" w:sz="24" w:space="0" w:color="000000"/>
            </w:tcBorders>
          </w:tcPr>
          <w:p w14:paraId="63DDA784" w14:textId="77777777" w:rsidR="001A146E" w:rsidRDefault="001A146E"/>
        </w:tc>
      </w:tr>
      <w:tr w:rsidR="001A146E" w14:paraId="67994C78" w14:textId="77777777">
        <w:tc>
          <w:tcPr>
            <w:tcW w:w="3969" w:type="dxa"/>
            <w:tcBorders>
              <w:left w:val="single" w:sz="24" w:space="0" w:color="000000"/>
            </w:tcBorders>
          </w:tcPr>
          <w:p w14:paraId="76809F6C" w14:textId="77777777" w:rsidR="001A146E" w:rsidRDefault="00496B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0071" w:type="dxa"/>
            <w:gridSpan w:val="3"/>
            <w:tcBorders>
              <w:right w:val="single" w:sz="24" w:space="0" w:color="000000"/>
            </w:tcBorders>
          </w:tcPr>
          <w:p w14:paraId="3F70DB49" w14:textId="77777777" w:rsidR="001A146E" w:rsidRDefault="001A146E"/>
        </w:tc>
      </w:tr>
      <w:tr w:rsidR="001A146E" w14:paraId="6989F798" w14:textId="77777777">
        <w:tc>
          <w:tcPr>
            <w:tcW w:w="3969" w:type="dxa"/>
            <w:tcBorders>
              <w:left w:val="single" w:sz="24" w:space="0" w:color="000000"/>
            </w:tcBorders>
          </w:tcPr>
          <w:p w14:paraId="7F178656" w14:textId="77777777" w:rsidR="001A146E" w:rsidRDefault="00496B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0071" w:type="dxa"/>
            <w:gridSpan w:val="3"/>
            <w:tcBorders>
              <w:right w:val="single" w:sz="24" w:space="0" w:color="000000"/>
            </w:tcBorders>
          </w:tcPr>
          <w:p w14:paraId="44897CEA" w14:textId="77777777" w:rsidR="001A146E" w:rsidRDefault="001A146E"/>
        </w:tc>
      </w:tr>
      <w:tr w:rsidR="001A146E" w14:paraId="708EB7F0" w14:textId="77777777">
        <w:tc>
          <w:tcPr>
            <w:tcW w:w="3969" w:type="dxa"/>
            <w:tcBorders>
              <w:left w:val="single" w:sz="24" w:space="0" w:color="000000"/>
            </w:tcBorders>
          </w:tcPr>
          <w:p w14:paraId="6CEC7335" w14:textId="77777777" w:rsidR="001A146E" w:rsidRDefault="00496B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0071" w:type="dxa"/>
            <w:gridSpan w:val="3"/>
            <w:tcBorders>
              <w:right w:val="single" w:sz="24" w:space="0" w:color="000000"/>
            </w:tcBorders>
          </w:tcPr>
          <w:p w14:paraId="460CB529" w14:textId="77777777" w:rsidR="001A146E" w:rsidRDefault="001A146E"/>
        </w:tc>
      </w:tr>
      <w:tr w:rsidR="001A146E" w14:paraId="0FBB04EE" w14:textId="77777777">
        <w:tc>
          <w:tcPr>
            <w:tcW w:w="3969" w:type="dxa"/>
            <w:tcBorders>
              <w:left w:val="single" w:sz="24" w:space="0" w:color="000000"/>
            </w:tcBorders>
          </w:tcPr>
          <w:p w14:paraId="2E336E6C" w14:textId="77777777" w:rsidR="001A146E" w:rsidRDefault="00496B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0071" w:type="dxa"/>
            <w:gridSpan w:val="3"/>
            <w:tcBorders>
              <w:right w:val="single" w:sz="24" w:space="0" w:color="000000"/>
            </w:tcBorders>
          </w:tcPr>
          <w:p w14:paraId="061FDF02" w14:textId="77777777" w:rsidR="001A146E" w:rsidRDefault="001A146E"/>
        </w:tc>
      </w:tr>
      <w:tr w:rsidR="001A146E" w14:paraId="1F0C2048" w14:textId="77777777">
        <w:tc>
          <w:tcPr>
            <w:tcW w:w="3969" w:type="dxa"/>
            <w:tcBorders>
              <w:left w:val="single" w:sz="24" w:space="0" w:color="000000"/>
            </w:tcBorders>
          </w:tcPr>
          <w:p w14:paraId="14B8D097" w14:textId="77777777" w:rsidR="001A146E" w:rsidRDefault="00496B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0071" w:type="dxa"/>
            <w:gridSpan w:val="3"/>
            <w:tcBorders>
              <w:right w:val="single" w:sz="24" w:space="0" w:color="000000"/>
            </w:tcBorders>
          </w:tcPr>
          <w:p w14:paraId="1126F831" w14:textId="77777777" w:rsidR="001A146E" w:rsidRDefault="001A146E"/>
        </w:tc>
      </w:tr>
      <w:tr w:rsidR="001A146E" w14:paraId="5091DBE0" w14:textId="77777777">
        <w:tc>
          <w:tcPr>
            <w:tcW w:w="3969" w:type="dxa"/>
            <w:tcBorders>
              <w:left w:val="single" w:sz="24" w:space="0" w:color="000000"/>
            </w:tcBorders>
          </w:tcPr>
          <w:p w14:paraId="2F3F31A4" w14:textId="77777777" w:rsidR="001A146E" w:rsidRDefault="00496B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0071" w:type="dxa"/>
            <w:gridSpan w:val="3"/>
            <w:tcBorders>
              <w:right w:val="single" w:sz="24" w:space="0" w:color="000000"/>
            </w:tcBorders>
          </w:tcPr>
          <w:p w14:paraId="26601EFF" w14:textId="77777777" w:rsidR="001A146E" w:rsidRDefault="001A146E"/>
        </w:tc>
      </w:tr>
      <w:tr w:rsidR="001A146E" w14:paraId="3D512400" w14:textId="77777777">
        <w:tc>
          <w:tcPr>
            <w:tcW w:w="3969" w:type="dxa"/>
            <w:tcBorders>
              <w:left w:val="single" w:sz="24" w:space="0" w:color="000000"/>
            </w:tcBorders>
          </w:tcPr>
          <w:p w14:paraId="06AD05E8" w14:textId="77777777" w:rsidR="001A146E" w:rsidRDefault="00496B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0071" w:type="dxa"/>
            <w:gridSpan w:val="3"/>
            <w:tcBorders>
              <w:right w:val="single" w:sz="24" w:space="0" w:color="000000"/>
            </w:tcBorders>
          </w:tcPr>
          <w:p w14:paraId="36C84D7A" w14:textId="77777777" w:rsidR="001A146E" w:rsidRDefault="001A146E"/>
        </w:tc>
      </w:tr>
      <w:tr w:rsidR="001A146E" w14:paraId="39F2C367" w14:textId="77777777">
        <w:tc>
          <w:tcPr>
            <w:tcW w:w="3969" w:type="dxa"/>
            <w:tcBorders>
              <w:left w:val="single" w:sz="24" w:space="0" w:color="000000"/>
              <w:bottom w:val="single" w:sz="24" w:space="0" w:color="000000"/>
            </w:tcBorders>
          </w:tcPr>
          <w:p w14:paraId="6CDEF64E" w14:textId="77777777" w:rsidR="001A146E" w:rsidRDefault="00496B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0071" w:type="dxa"/>
            <w:gridSpan w:val="3"/>
            <w:tcBorders>
              <w:bottom w:val="single" w:sz="24" w:space="0" w:color="000000"/>
              <w:right w:val="single" w:sz="24" w:space="0" w:color="000000"/>
            </w:tcBorders>
          </w:tcPr>
          <w:p w14:paraId="409BF42A" w14:textId="77777777" w:rsidR="001A146E" w:rsidRDefault="001A146E"/>
        </w:tc>
      </w:tr>
    </w:tbl>
    <w:p w14:paraId="313F1F95" w14:textId="77777777" w:rsidR="001A146E" w:rsidRDefault="001A146E">
      <w:pPr>
        <w:rPr>
          <w:sz w:val="22"/>
          <w:szCs w:val="22"/>
        </w:rPr>
      </w:pPr>
    </w:p>
    <w:sectPr w:rsidR="001A146E">
      <w:pgSz w:w="15840" w:h="12240"/>
      <w:pgMar w:top="1800" w:right="1440" w:bottom="18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657E"/>
    <w:multiLevelType w:val="multilevel"/>
    <w:tmpl w:val="C3F2D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576FAE"/>
    <w:multiLevelType w:val="multilevel"/>
    <w:tmpl w:val="51A0F2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52078"/>
    <w:multiLevelType w:val="multilevel"/>
    <w:tmpl w:val="A202C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C9150B"/>
    <w:multiLevelType w:val="multilevel"/>
    <w:tmpl w:val="1CA6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5D200B"/>
    <w:multiLevelType w:val="multilevel"/>
    <w:tmpl w:val="21D8D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663E40"/>
    <w:multiLevelType w:val="multilevel"/>
    <w:tmpl w:val="BE5A1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41563C"/>
    <w:multiLevelType w:val="multilevel"/>
    <w:tmpl w:val="267CE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370794"/>
    <w:multiLevelType w:val="multilevel"/>
    <w:tmpl w:val="C3D208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CB62637"/>
    <w:multiLevelType w:val="multilevel"/>
    <w:tmpl w:val="A114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6E"/>
    <w:rsid w:val="00000B48"/>
    <w:rsid w:val="00003CAC"/>
    <w:rsid w:val="00011428"/>
    <w:rsid w:val="0001250D"/>
    <w:rsid w:val="000262F2"/>
    <w:rsid w:val="00044722"/>
    <w:rsid w:val="000533A0"/>
    <w:rsid w:val="00054125"/>
    <w:rsid w:val="00061913"/>
    <w:rsid w:val="000656E9"/>
    <w:rsid w:val="00072001"/>
    <w:rsid w:val="00097015"/>
    <w:rsid w:val="000A2692"/>
    <w:rsid w:val="000B1816"/>
    <w:rsid w:val="000F26CE"/>
    <w:rsid w:val="00100B1F"/>
    <w:rsid w:val="001152E8"/>
    <w:rsid w:val="00143B17"/>
    <w:rsid w:val="001451F1"/>
    <w:rsid w:val="001456C0"/>
    <w:rsid w:val="00167FC1"/>
    <w:rsid w:val="00192E02"/>
    <w:rsid w:val="001A146E"/>
    <w:rsid w:val="001E2312"/>
    <w:rsid w:val="001E44ED"/>
    <w:rsid w:val="001F4D60"/>
    <w:rsid w:val="00230C3B"/>
    <w:rsid w:val="00241C11"/>
    <w:rsid w:val="002762AF"/>
    <w:rsid w:val="00281149"/>
    <w:rsid w:val="00281F58"/>
    <w:rsid w:val="00283BC7"/>
    <w:rsid w:val="002B2032"/>
    <w:rsid w:val="002C0762"/>
    <w:rsid w:val="002C4FDD"/>
    <w:rsid w:val="002F4630"/>
    <w:rsid w:val="002F5B9A"/>
    <w:rsid w:val="00303178"/>
    <w:rsid w:val="0032066D"/>
    <w:rsid w:val="00322329"/>
    <w:rsid w:val="0032502F"/>
    <w:rsid w:val="00332372"/>
    <w:rsid w:val="00340CE2"/>
    <w:rsid w:val="003479EC"/>
    <w:rsid w:val="00354399"/>
    <w:rsid w:val="00374F3B"/>
    <w:rsid w:val="00375607"/>
    <w:rsid w:val="00381FEE"/>
    <w:rsid w:val="003959FB"/>
    <w:rsid w:val="003A2FAC"/>
    <w:rsid w:val="003A50DA"/>
    <w:rsid w:val="003B0162"/>
    <w:rsid w:val="003B6405"/>
    <w:rsid w:val="003C67AC"/>
    <w:rsid w:val="003E2D52"/>
    <w:rsid w:val="003F5BE6"/>
    <w:rsid w:val="0043588D"/>
    <w:rsid w:val="00441BE4"/>
    <w:rsid w:val="00443BE7"/>
    <w:rsid w:val="0046770A"/>
    <w:rsid w:val="00477695"/>
    <w:rsid w:val="00496BD2"/>
    <w:rsid w:val="004A0EA1"/>
    <w:rsid w:val="004A1FB1"/>
    <w:rsid w:val="004A27F5"/>
    <w:rsid w:val="004A4449"/>
    <w:rsid w:val="004A4547"/>
    <w:rsid w:val="004B3ADA"/>
    <w:rsid w:val="004C2871"/>
    <w:rsid w:val="004C54DF"/>
    <w:rsid w:val="004D6B8A"/>
    <w:rsid w:val="004F7E8B"/>
    <w:rsid w:val="00521880"/>
    <w:rsid w:val="00530A00"/>
    <w:rsid w:val="00582914"/>
    <w:rsid w:val="005B32DA"/>
    <w:rsid w:val="005B5A2E"/>
    <w:rsid w:val="005C176D"/>
    <w:rsid w:val="005C3EB4"/>
    <w:rsid w:val="00605DA9"/>
    <w:rsid w:val="0060798D"/>
    <w:rsid w:val="00612BFB"/>
    <w:rsid w:val="00613A4B"/>
    <w:rsid w:val="006144C3"/>
    <w:rsid w:val="00634F77"/>
    <w:rsid w:val="00643292"/>
    <w:rsid w:val="00651E76"/>
    <w:rsid w:val="00656032"/>
    <w:rsid w:val="006863AC"/>
    <w:rsid w:val="00697A8C"/>
    <w:rsid w:val="006B6123"/>
    <w:rsid w:val="006C68B8"/>
    <w:rsid w:val="007171E9"/>
    <w:rsid w:val="00785ED2"/>
    <w:rsid w:val="007929E5"/>
    <w:rsid w:val="007B4F6D"/>
    <w:rsid w:val="007C4591"/>
    <w:rsid w:val="007C4B0C"/>
    <w:rsid w:val="007C6F82"/>
    <w:rsid w:val="007C7503"/>
    <w:rsid w:val="007D2D02"/>
    <w:rsid w:val="007D3806"/>
    <w:rsid w:val="007E4BFA"/>
    <w:rsid w:val="008158C7"/>
    <w:rsid w:val="00834924"/>
    <w:rsid w:val="008633FB"/>
    <w:rsid w:val="00884629"/>
    <w:rsid w:val="008A6EC0"/>
    <w:rsid w:val="008B2772"/>
    <w:rsid w:val="008E5960"/>
    <w:rsid w:val="008F1AEB"/>
    <w:rsid w:val="008F39BD"/>
    <w:rsid w:val="008F4E7A"/>
    <w:rsid w:val="009071C5"/>
    <w:rsid w:val="00907C73"/>
    <w:rsid w:val="0092627A"/>
    <w:rsid w:val="009611EC"/>
    <w:rsid w:val="009629EF"/>
    <w:rsid w:val="00963A01"/>
    <w:rsid w:val="009765FF"/>
    <w:rsid w:val="009A0E79"/>
    <w:rsid w:val="009A6714"/>
    <w:rsid w:val="009C7AA3"/>
    <w:rsid w:val="00A05D34"/>
    <w:rsid w:val="00A46771"/>
    <w:rsid w:val="00A572C4"/>
    <w:rsid w:val="00A62747"/>
    <w:rsid w:val="00A639EA"/>
    <w:rsid w:val="00A770A6"/>
    <w:rsid w:val="00A81F85"/>
    <w:rsid w:val="00AA0F4F"/>
    <w:rsid w:val="00AB19BF"/>
    <w:rsid w:val="00AB327D"/>
    <w:rsid w:val="00AC612C"/>
    <w:rsid w:val="00AC729E"/>
    <w:rsid w:val="00AE3AB0"/>
    <w:rsid w:val="00AE4350"/>
    <w:rsid w:val="00AE4C24"/>
    <w:rsid w:val="00B02DB5"/>
    <w:rsid w:val="00B22BA9"/>
    <w:rsid w:val="00B251DB"/>
    <w:rsid w:val="00B27C4B"/>
    <w:rsid w:val="00B67A4D"/>
    <w:rsid w:val="00B71058"/>
    <w:rsid w:val="00BB79CA"/>
    <w:rsid w:val="00BC04DD"/>
    <w:rsid w:val="00BC34CD"/>
    <w:rsid w:val="00BC3B06"/>
    <w:rsid w:val="00BD5505"/>
    <w:rsid w:val="00BF4971"/>
    <w:rsid w:val="00BF4E45"/>
    <w:rsid w:val="00C038E3"/>
    <w:rsid w:val="00C20145"/>
    <w:rsid w:val="00C51DF6"/>
    <w:rsid w:val="00C77B70"/>
    <w:rsid w:val="00CA652E"/>
    <w:rsid w:val="00CD40A4"/>
    <w:rsid w:val="00CE20E8"/>
    <w:rsid w:val="00CF6C68"/>
    <w:rsid w:val="00CF73C2"/>
    <w:rsid w:val="00D002D6"/>
    <w:rsid w:val="00D22A0A"/>
    <w:rsid w:val="00D31AA0"/>
    <w:rsid w:val="00D4242C"/>
    <w:rsid w:val="00D431E2"/>
    <w:rsid w:val="00D4794E"/>
    <w:rsid w:val="00D50CDB"/>
    <w:rsid w:val="00D57088"/>
    <w:rsid w:val="00D66E0D"/>
    <w:rsid w:val="00D85B4D"/>
    <w:rsid w:val="00D92131"/>
    <w:rsid w:val="00DA0973"/>
    <w:rsid w:val="00DC0BB2"/>
    <w:rsid w:val="00DD1797"/>
    <w:rsid w:val="00DD62E1"/>
    <w:rsid w:val="00DF303A"/>
    <w:rsid w:val="00E35DAB"/>
    <w:rsid w:val="00E37C04"/>
    <w:rsid w:val="00E40C13"/>
    <w:rsid w:val="00E44520"/>
    <w:rsid w:val="00E4539E"/>
    <w:rsid w:val="00E5114B"/>
    <w:rsid w:val="00E73E76"/>
    <w:rsid w:val="00E82C53"/>
    <w:rsid w:val="00E944A2"/>
    <w:rsid w:val="00EC2694"/>
    <w:rsid w:val="00EC51AA"/>
    <w:rsid w:val="00ED0EE3"/>
    <w:rsid w:val="00EE201F"/>
    <w:rsid w:val="00EE5C9C"/>
    <w:rsid w:val="00F11695"/>
    <w:rsid w:val="00F156CA"/>
    <w:rsid w:val="00F42559"/>
    <w:rsid w:val="00FA3827"/>
    <w:rsid w:val="00FC685E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E1AE"/>
  <w15:docId w15:val="{4DC865E0-AF1F-4A42-979C-9836F89C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61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A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0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672"/>
    <w:rPr>
      <w:b/>
      <w:bCs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AE4350"/>
    <w:rPr>
      <w:i/>
      <w:iCs/>
    </w:rPr>
  </w:style>
  <w:style w:type="character" w:styleId="Hyperlink">
    <w:name w:val="Hyperlink"/>
    <w:basedOn w:val="DefaultParagraphFont"/>
    <w:uiPriority w:val="99"/>
    <w:unhideWhenUsed/>
    <w:rsid w:val="00AE4350"/>
    <w:rPr>
      <w:color w:val="0000FF"/>
      <w:u w:val="single"/>
    </w:rPr>
  </w:style>
  <w:style w:type="character" w:customStyle="1" w:styleId="ref-journal">
    <w:name w:val="ref-journal"/>
    <w:basedOn w:val="DefaultParagraphFont"/>
    <w:rsid w:val="00F11695"/>
  </w:style>
  <w:style w:type="character" w:customStyle="1" w:styleId="ref-vol">
    <w:name w:val="ref-vol"/>
    <w:basedOn w:val="DefaultParagraphFont"/>
    <w:rsid w:val="00F11695"/>
  </w:style>
  <w:style w:type="paragraph" w:styleId="NormalWeb">
    <w:name w:val="Normal (Web)"/>
    <w:basedOn w:val="Normal"/>
    <w:uiPriority w:val="99"/>
    <w:unhideWhenUsed/>
    <w:rsid w:val="00B02DB5"/>
    <w:pPr>
      <w:spacing w:before="100" w:beforeAutospacing="1" w:after="100" w:afterAutospacing="1"/>
    </w:pPr>
    <w:rPr>
      <w:lang w:eastAsia="zh-TW"/>
    </w:rPr>
  </w:style>
  <w:style w:type="character" w:styleId="Strong">
    <w:name w:val="Strong"/>
    <w:basedOn w:val="DefaultParagraphFont"/>
    <w:uiPriority w:val="22"/>
    <w:qFormat/>
    <w:rsid w:val="00B02DB5"/>
    <w:rPr>
      <w:b/>
      <w:bCs/>
    </w:rPr>
  </w:style>
  <w:style w:type="paragraph" w:customStyle="1" w:styleId="para">
    <w:name w:val="para"/>
    <w:basedOn w:val="Normal"/>
    <w:rsid w:val="00230C3B"/>
    <w:pPr>
      <w:spacing w:before="100" w:beforeAutospacing="1" w:after="100" w:afterAutospacing="1"/>
    </w:pPr>
    <w:rPr>
      <w:lang w:eastAsia="zh-TW"/>
    </w:rPr>
  </w:style>
  <w:style w:type="character" w:customStyle="1" w:styleId="sr-only">
    <w:name w:val="sr-only"/>
    <w:basedOn w:val="DefaultParagraphFont"/>
    <w:rsid w:val="00003CAC"/>
  </w:style>
  <w:style w:type="character" w:styleId="UnresolvedMention">
    <w:name w:val="Unresolved Mention"/>
    <w:basedOn w:val="DefaultParagraphFont"/>
    <w:uiPriority w:val="99"/>
    <w:semiHidden/>
    <w:unhideWhenUsed/>
    <w:rsid w:val="00D431E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B2772"/>
    <w:pPr>
      <w:spacing w:before="100" w:beforeAutospacing="1" w:after="100" w:afterAutospacing="1"/>
    </w:pPr>
    <w:rPr>
      <w:lang w:eastAsia="zh-TW"/>
    </w:rPr>
  </w:style>
  <w:style w:type="character" w:customStyle="1" w:styleId="normaltextrun">
    <w:name w:val="normaltextrun"/>
    <w:basedOn w:val="DefaultParagraphFont"/>
    <w:rsid w:val="008B2772"/>
  </w:style>
  <w:style w:type="character" w:customStyle="1" w:styleId="eop">
    <w:name w:val="eop"/>
    <w:basedOn w:val="DefaultParagraphFont"/>
    <w:rsid w:val="008B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coronavirus/2019-ncov/need-extra-precautions/older-adults.html" TargetMode="External"/><Relationship Id="rId18" Type="http://schemas.openxmlformats.org/officeDocument/2006/relationships/hyperlink" Target="https://www.cdc.gov/coronavirus/2019-ncov/covid-data/investigations-discovery/hospitalization-death-by-race-ethnicity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c.gov/mis-c/index.html" TargetMode="External"/><Relationship Id="rId17" Type="http://schemas.openxmlformats.org/officeDocument/2006/relationships/hyperlink" Target="https://www.who.int/news-room/commentaries/detail/estimating-mortality-from-covid-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coronavirus/2019-ncov/hcp/planning-scenario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daily-life-coping/children/symptom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edrxiv.org/content/10.1101/2020.06.08.20125310v1" TargetMode="External"/><Relationship Id="rId10" Type="http://schemas.openxmlformats.org/officeDocument/2006/relationships/hyperlink" Target="https://www.cdc.gov/coronavirus/2019-ncov/need-extra-precautions/people-with-medical-conditions.html" TargetMode="External"/><Relationship Id="rId19" Type="http://schemas.openxmlformats.org/officeDocument/2006/relationships/hyperlink" Target="https://www.medrxiv.org/content/10.1101/2020.08.13.20173161v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uptodate.com/contents/coronavirus-disease-2019-covid-19-clinical-features" TargetMode="External"/><Relationship Id="rId14" Type="http://schemas.openxmlformats.org/officeDocument/2006/relationships/hyperlink" Target="https://www.cdc.gov/vaccines/acip/meetings/downloads/slides-2020-08/COVID-05-McLu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nzYW9R2urXvmFf6rWY3WWm5kew==">AMUW2mWEiojBg+7k0LQFUXfVZOV3KZCpEKvJAzkP47dmQ5yWKztBl1gqHVtMgkctWe+6DJpLh4EVOMqIchedyfrfJ0nQFYcT96/HQi5ay3VWyBbhKAV/Je7qL7dhBxGwivlXMbIdx0epT1hFVNoPgoPDJ1n9xZRhbnjC6c/XJhzkGQgP6RH4hoU=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25C5F14FF4D6478C1FC49F317856DF" ma:contentTypeVersion="11" ma:contentTypeDescription="Crear nuevo documento." ma:contentTypeScope="" ma:versionID="dd78aa72d59335ddd8b43195383707f6">
  <xsd:schema xmlns:xsd="http://www.w3.org/2001/XMLSchema" xmlns:xs="http://www.w3.org/2001/XMLSchema" xmlns:p="http://schemas.microsoft.com/office/2006/metadata/properties" xmlns:ns2="cd3aa6b3-72e6-46d8-814b-d2ef3ba1625b" xmlns:ns3="d2430cc8-b339-4939-b2a0-1336e147faf9" targetNamespace="http://schemas.microsoft.com/office/2006/metadata/properties" ma:root="true" ma:fieldsID="23d350f07bc58077003643bd9c9ae176" ns2:_="" ns3:_="">
    <xsd:import namespace="cd3aa6b3-72e6-46d8-814b-d2ef3ba1625b"/>
    <xsd:import namespace="d2430cc8-b339-4939-b2a0-1336e147f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aa6b3-72e6-46d8-814b-d2ef3ba16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30cc8-b339-4939-b2a0-1336e147f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20EDC-6683-487F-8077-50B884AF9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AB6F5A-9741-4ACD-9D32-03A246459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E93F620-33B0-47AC-8E5D-A0DEB81FD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aa6b3-72e6-46d8-814b-d2ef3ba1625b"/>
    <ds:schemaRef ds:uri="d2430cc8-b339-4939-b2a0-1336e147f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Chen</dc:creator>
  <cp:lastModifiedBy>Matthew Dudley</cp:lastModifiedBy>
  <cp:revision>3</cp:revision>
  <dcterms:created xsi:type="dcterms:W3CDTF">2020-10-27T20:36:00Z</dcterms:created>
  <dcterms:modified xsi:type="dcterms:W3CDTF">2020-10-27T21:24:00Z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0x010100E125C5F14FF4D6478C1FC49F317856DF</vt:lpwstr>
  </property>
</Properties>
</file>